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Cs/>
          <w:color w:val="auto"/>
          <w:sz w:val="22"/>
          <w:szCs w:val="22"/>
          <w:highlight w:val="white"/>
        </w:rPr>
      </w:pPr>
      <w:r>
        <w:rPr>
          <w:bCs/>
          <w:color w:val="auto"/>
          <w:sz w:val="22"/>
          <w:szCs w:val="22"/>
          <w:highlight w:val="none"/>
        </w:rPr>
        <w:t xml:space="preserve">Приложение №1 к Документации о закупке</w:t>
      </w:r>
      <w:r>
        <w:rPr>
          <w:bCs/>
          <w:color w:val="auto"/>
          <w:sz w:val="22"/>
          <w:szCs w:val="22"/>
          <w:highlight w:val="white"/>
        </w:rPr>
      </w:r>
      <w:r>
        <w:rPr>
          <w:bCs/>
          <w:color w:val="auto"/>
          <w:sz w:val="22"/>
          <w:szCs w:val="22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  <w:t xml:space="preserve">Технические требования на выполнение </w:t>
      </w:r>
      <w:r>
        <w:rPr>
          <w:rFonts w:eastAsia="Calibri"/>
          <w:b/>
          <w:color w:val="auto"/>
          <w:highlight w:val="white"/>
        </w:rPr>
        <w:t xml:space="preserve">работ</w:t>
      </w: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  <w:t xml:space="preserve">ОКПД 2 43.21.10 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b/>
          <w:color w:val="auto"/>
          <w:highlight w:val="white"/>
        </w:rPr>
        <w:t xml:space="preserve">Лот № </w:t>
      </w:r>
      <w:r>
        <w:rPr>
          <w:b/>
          <w:color w:val="auto"/>
          <w:highlight w:val="white"/>
        </w:rPr>
        <w:t xml:space="preserve">22130006-ТПИР ОБСЛ-2026-ДГК-КТЭЦ3</w:t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color w:val="auto"/>
          <w:highlight w:val="white"/>
        </w:rPr>
      </w:pPr>
      <w:r>
        <w:rPr>
          <w:rFonts w:eastAsia="Calibri"/>
          <w:color w:val="auto"/>
          <w:highlight w:val="white"/>
        </w:rPr>
      </w:r>
      <w:r>
        <w:rPr>
          <w:rFonts w:eastAsia="Calibri"/>
          <w:color w:val="auto"/>
          <w:highlight w:val="white"/>
        </w:rPr>
      </w:r>
      <w:r>
        <w:rPr>
          <w:rFonts w:eastAsia="Calibri"/>
          <w:color w:val="auto"/>
          <w:highlight w:val="white"/>
        </w:rPr>
      </w:r>
    </w:p>
    <w:p>
      <w:pPr>
        <w:keepLines/>
        <w:keepNext/>
        <w:rPr>
          <w:rFonts w:eastAsia="Calibri"/>
          <w:color w:val="auto"/>
          <w:sz w:val="24"/>
          <w:szCs w:val="24"/>
          <w:highlight w:val="white"/>
        </w:rPr>
      </w:pPr>
      <w:r>
        <w:rPr>
          <w:rFonts w:eastAsia="Calibri"/>
          <w:color w:val="auto"/>
          <w:sz w:val="24"/>
          <w:szCs w:val="24"/>
          <w:highlight w:val="white"/>
        </w:rPr>
        <w:br w:type="page" w:clear="all"/>
      </w:r>
      <w:r>
        <w:rPr>
          <w:rFonts w:eastAsia="Calibri"/>
          <w:color w:val="auto"/>
          <w:sz w:val="24"/>
          <w:szCs w:val="24"/>
          <w:highlight w:val="white"/>
        </w:rPr>
      </w:r>
      <w:r>
        <w:rPr>
          <w:rFonts w:eastAsia="Calibri"/>
          <w:color w:val="auto"/>
          <w:sz w:val="24"/>
          <w:szCs w:val="24"/>
          <w:highlight w:val="white"/>
        </w:rPr>
      </w:r>
    </w:p>
    <w:p>
      <w:pPr>
        <w:jc w:val="right"/>
        <w:keepLines/>
        <w:keepNext/>
        <w:rPr>
          <w:b/>
          <w:bCs/>
          <w:color w:val="auto"/>
          <w:sz w:val="26"/>
          <w:szCs w:val="26"/>
          <w:highlight w:val="white"/>
        </w:rPr>
      </w:pPr>
      <w:r>
        <w:rPr>
          <w:b/>
          <w:bCs/>
          <w:color w:val="auto"/>
          <w:sz w:val="26"/>
          <w:szCs w:val="26"/>
          <w:highlight w:val="white"/>
        </w:rPr>
      </w:r>
      <w:r>
        <w:rPr>
          <w:b/>
          <w:bCs/>
          <w:color w:val="auto"/>
          <w:sz w:val="26"/>
          <w:szCs w:val="26"/>
          <w:highlight w:val="white"/>
        </w:rPr>
      </w:r>
      <w:r>
        <w:rPr>
          <w:b/>
          <w:bCs/>
          <w:color w:val="auto"/>
          <w:sz w:val="26"/>
          <w:szCs w:val="26"/>
          <w:highlight w:val="white"/>
        </w:rPr>
      </w:r>
    </w:p>
    <w:p>
      <w:pPr>
        <w:jc w:val="center"/>
        <w:rPr>
          <w:b/>
          <w:color w:val="auto"/>
          <w:highlight w:val="white"/>
        </w:rPr>
      </w:pPr>
      <w:r>
        <w:rPr>
          <w:b/>
          <w:color w:val="auto"/>
          <w:highlight w:val="white"/>
        </w:rPr>
        <w:t xml:space="preserve">СОДЕРЖАНИЕ</w:t>
      </w:r>
      <w:r>
        <w:rPr>
          <w:b/>
          <w:color w:val="auto"/>
          <w:highlight w:val="white"/>
        </w:rPr>
      </w:r>
      <w:r>
        <w:rPr>
          <w:b/>
          <w:color w:val="auto"/>
          <w:highlight w:val="white"/>
        </w:rPr>
      </w:r>
    </w:p>
    <w:p>
      <w:pPr>
        <w:pStyle w:val="934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rFonts w:cstheme="majorHAnsi"/>
          <w:b w:val="0"/>
          <w:i/>
          <w:color w:val="auto"/>
          <w:highlight w:val="white"/>
        </w:rPr>
        <w:fldChar w:fldCharType="begin"/>
      </w:r>
      <w:r>
        <w:rPr>
          <w:rFonts w:cstheme="majorHAnsi"/>
          <w:b w:val="0"/>
          <w:i/>
          <w:color w:val="auto"/>
          <w:highlight w:val="white"/>
        </w:rPr>
        <w:instrText xml:space="preserve"> TOC \o "1-4" \h \z \u </w:instrText>
      </w:r>
      <w:r>
        <w:rPr>
          <w:rFonts w:cstheme="majorHAnsi"/>
          <w:b w:val="0"/>
          <w:i/>
          <w:color w:val="auto"/>
          <w:highlight w:val="white"/>
        </w:rPr>
        <w:fldChar w:fldCharType="separate"/>
      </w:r>
      <w:hyperlink w:tooltip="#_Toc54646395" w:anchor="_Toc54646395" w:history="1">
        <w:r>
          <w:rPr>
            <w:rStyle w:val="936"/>
            <w:color w:val="auto"/>
            <w:highlight w:val="whit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Общие сведения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_Toc54646395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6" w:anchor="_Toc54646396" w:history="1">
        <w:r>
          <w:rPr>
            <w:rStyle w:val="936"/>
            <w:iCs/>
            <w:color w:val="auto"/>
            <w:highlight w:val="white"/>
          </w:rPr>
          <w:t xml:space="preserve">1.1.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Обозначения и сокращения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_Toc54646396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7" w:anchor="_Toc54646397" w:history="1">
        <w:r>
          <w:rPr>
            <w:rStyle w:val="936"/>
            <w:iCs/>
            <w:color w:val="auto"/>
            <w:highlight w:val="white"/>
          </w:rPr>
          <w:t xml:space="preserve">1.2.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Наименование закупаемой продукции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_Toc54646397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8" w:anchor="_Toc54646398" w:history="1">
        <w:r>
          <w:rPr>
            <w:rStyle w:val="936"/>
            <w:iCs/>
            <w:color w:val="auto"/>
            <w:highlight w:val="white"/>
          </w:rPr>
          <w:t xml:space="preserve">1.3.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Цель выполнения работ 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_Toc54646398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9" w:anchor="_Toc54646399" w:history="1">
        <w:r>
          <w:rPr>
            <w:rStyle w:val="936"/>
            <w:iCs/>
            <w:color w:val="auto"/>
            <w:highlight w:val="white"/>
          </w:rPr>
          <w:t xml:space="preserve">1.4.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Существующее положение 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_Toc54646399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4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0" w:anchor="_Toc54646400" w:history="1">
        <w:r>
          <w:rPr>
            <w:rStyle w:val="936"/>
            <w:color w:val="auto"/>
            <w:highlight w:val="white"/>
          </w:rPr>
          <w:t xml:space="preserve">Таблица 1. Перечень объектов заказчика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_Toc54646400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4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3" w:anchor="_Toc54646403" w:history="1">
        <w:r>
          <w:rPr>
            <w:rStyle w:val="936"/>
            <w:color w:val="auto"/>
            <w:highlight w:val="whit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6"/>
            <w:iCs/>
            <w:color w:val="auto"/>
            <w:highlight w:val="white"/>
          </w:rPr>
          <w:t xml:space="preserve">Требования к продукции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_Toc54646403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4" w:anchor="_Toc54646404" w:history="1">
        <w:r>
          <w:rPr>
            <w:rStyle w:val="936"/>
            <w:iCs/>
            <w:color w:val="auto"/>
            <w:highlight w:val="white"/>
          </w:rPr>
          <w:t xml:space="preserve">2.1.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Требования к объемам и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_Toc54646404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5" w:anchor="_Toc54646405" w:history="1">
        <w:r>
          <w:rPr>
            <w:rStyle w:val="936"/>
            <w:color w:val="auto"/>
            <w:highlight w:val="white"/>
          </w:rPr>
          <w:t xml:space="preserve">2.1.1.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Требования к видам и объемам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_Toc54646405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4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6" w:anchor="_Toc54646406" w:history="1">
        <w:r>
          <w:rPr>
            <w:rStyle w:val="936"/>
            <w:color w:val="auto"/>
            <w:highlight w:val="white"/>
          </w:rPr>
          <w:t xml:space="preserve">Таблица 2. Перечень и объем выполняемых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_Toc54646406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7" w:anchor="_Toc54646407" w:history="1">
        <w:r>
          <w:rPr>
            <w:rStyle w:val="936"/>
            <w:color w:val="auto"/>
            <w:highlight w:val="white"/>
          </w:rPr>
          <w:t xml:space="preserve">2.1.2.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Требования к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_Toc54646407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4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8" w:anchor="_Toc54646408" w:history="1">
        <w:r>
          <w:rPr>
            <w:rStyle w:val="936"/>
            <w:color w:val="auto"/>
            <w:highlight w:val="white"/>
          </w:rPr>
          <w:t xml:space="preserve">Таблица 3. Требования по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_Toc54646408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7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9" w:anchor="_Toc54646409" w:history="1">
        <w:r>
          <w:rPr>
            <w:rStyle w:val="936"/>
            <w:iCs/>
            <w:color w:val="auto"/>
            <w:highlight w:val="white"/>
          </w:rPr>
          <w:t xml:space="preserve">2.2.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Требования к качеству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_Toc54646409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8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4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0" w:anchor="_Toc54646410" w:history="1">
        <w:r>
          <w:rPr>
            <w:rStyle w:val="936"/>
            <w:color w:val="auto"/>
            <w:highlight w:val="white"/>
          </w:rPr>
          <w:t xml:space="preserve">Таблица 4. Требования к качеству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_Toc54646410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8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4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1" w:anchor="_Toc54646411" w:history="1">
        <w:r>
          <w:rPr>
            <w:rStyle w:val="936"/>
            <w:color w:val="auto"/>
            <w:highlight w:val="white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Требования к документации по ценообразованию на этапе закупки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_Toc54646411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4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2" w:anchor="_Toc54646412" w:history="1">
        <w:r>
          <w:rPr>
            <w:rStyle w:val="936"/>
            <w:color w:val="auto"/>
            <w:highlight w:val="white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6"/>
            <w:color w:val="auto"/>
            <w:highlight w:val="white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_Toc54646412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4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3" w:anchor="_Toc54646413" w:history="1">
        <w:r>
          <w:rPr>
            <w:rStyle w:val="936"/>
            <w:color w:val="auto"/>
            <w:highlight w:val="white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6"/>
            <w:iCs/>
            <w:color w:val="auto"/>
            <w:highlight w:val="white"/>
          </w:rPr>
          <w:t xml:space="preserve">Приложения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_Toc54646413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756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  <w:fldChar w:fldCharType="end"/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color w:val="auto"/>
          <w:sz w:val="24"/>
          <w:szCs w:val="24"/>
          <w:highlight w:val="white"/>
        </w:rPr>
      </w:pPr>
      <w:r>
        <w:rPr>
          <w:rFonts w:eastAsia="Calibri"/>
          <w:b/>
          <w:i/>
          <w:color w:val="auto"/>
          <w:sz w:val="24"/>
          <w:szCs w:val="24"/>
          <w:highlight w:val="white"/>
        </w:rPr>
        <w:br w:type="page" w:clear="all"/>
      </w:r>
      <w:r>
        <w:rPr>
          <w:rFonts w:eastAsia="Calibri"/>
          <w:b/>
          <w:i/>
          <w:color w:val="auto"/>
          <w:sz w:val="24"/>
          <w:szCs w:val="24"/>
          <w:highlight w:val="white"/>
        </w:rPr>
      </w:r>
      <w:r>
        <w:rPr>
          <w:rFonts w:eastAsia="Calibri"/>
          <w:b/>
          <w:i/>
          <w:color w:val="auto"/>
          <w:sz w:val="24"/>
          <w:szCs w:val="24"/>
          <w:highlight w:val="white"/>
        </w:rPr>
      </w:r>
    </w:p>
    <w:p>
      <w:pPr>
        <w:pStyle w:val="755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1" w:name="_Toc51339692"/>
      <w:r>
        <w:rPr>
          <w:color w:val="auto"/>
          <w:highlight w:val="white"/>
        </w:rPr>
      </w:r>
      <w:bookmarkStart w:id="2" w:name="_Toc54646395"/>
      <w:r>
        <w:rPr>
          <w:color w:val="auto"/>
          <w:highlight w:val="white"/>
        </w:rPr>
        <w:t xml:space="preserve">Общие сведения</w:t>
      </w:r>
      <w:bookmarkEnd w:id="1"/>
      <w:r>
        <w:rPr>
          <w:color w:val="auto"/>
          <w:highlight w:val="white"/>
        </w:rPr>
      </w:r>
      <w:bookmarkEnd w:id="2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pStyle w:val="758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" w:name="_Toc46743505"/>
      <w:r>
        <w:rPr>
          <w:color w:val="auto"/>
          <w:highlight w:val="white"/>
        </w:rPr>
      </w:r>
      <w:bookmarkStart w:id="4" w:name="_Toc54646396"/>
      <w:r>
        <w:rPr>
          <w:color w:val="auto"/>
          <w:highlight w:val="white"/>
        </w:rPr>
        <w:t xml:space="preserve">Обозначения и сокращения</w:t>
      </w:r>
      <w:bookmarkEnd w:id="3"/>
      <w:r>
        <w:rPr>
          <w:color w:val="auto"/>
          <w:highlight w:val="white"/>
        </w:rPr>
      </w:r>
      <w:bookmarkEnd w:id="4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ПД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Проектная документация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РД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  <w:t xml:space="preserve">Рабочая документация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ТТ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Технические требования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СП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Структурное подразделение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СПБиОТ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Служба промышленной безопасности и охраны труда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</w:tbl>
    <w:p>
      <w:pPr>
        <w:jc w:val="both"/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jc w:val="both"/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br w:type="page" w:clear="all"/>
      </w:r>
      <w:bookmarkStart w:id="8" w:name="_Toc46743506"/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758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9" w:name="_Toc54646397"/>
      <w:r>
        <w:rPr>
          <w:color w:val="auto"/>
          <w:highlight w:val="white"/>
        </w:rPr>
        <w:t xml:space="preserve">Наименование закупаемой продукции</w:t>
      </w:r>
      <w:bookmarkEnd w:id="8"/>
      <w:r>
        <w:rPr>
          <w:color w:val="auto"/>
          <w:highlight w:val="white"/>
        </w:rPr>
      </w:r>
      <w:bookmarkEnd w:id="9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spacing w:before="120" w:after="120"/>
        <w:widowControl w:val="off"/>
        <w:tabs>
          <w:tab w:val="left" w:pos="426" w:leader="none"/>
        </w:tabs>
        <w:rPr>
          <w:rStyle w:val="997"/>
          <w:b w:val="0"/>
          <w:bCs/>
          <w:i w:val="0"/>
          <w:color w:val="auto"/>
          <w:sz w:val="24"/>
          <w:szCs w:val="24"/>
          <w:highlight w:val="white"/>
        </w:rPr>
      </w:pPr>
      <w:r>
        <w:rPr>
          <w:rFonts w:eastAsia="Calibri"/>
          <w:color w:val="auto"/>
          <w:sz w:val="24"/>
          <w:szCs w:val="24"/>
          <w:highlight w:val="white"/>
        </w:rPr>
      </w:r>
      <w:r>
        <w:rPr>
          <w:rFonts w:eastAsia="Calibri"/>
          <w:color w:val="auto"/>
          <w:sz w:val="24"/>
          <w:szCs w:val="24"/>
          <w:highlight w:val="white"/>
        </w:rPr>
        <w:t xml:space="preserve">ОКПД 2 43.21.10 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</w:r>
      <w:r>
        <w:rPr>
          <w:rStyle w:val="997"/>
          <w:b w:val="0"/>
          <w:bCs/>
          <w:i w:val="0"/>
          <w:color w:val="auto"/>
          <w:sz w:val="24"/>
          <w:szCs w:val="24"/>
          <w:highlight w:val="white"/>
        </w:rPr>
      </w:r>
      <w:r>
        <w:rPr>
          <w:rStyle w:val="997"/>
          <w:b w:val="0"/>
          <w:bCs/>
          <w:i w:val="0"/>
          <w:color w:val="auto"/>
          <w:sz w:val="24"/>
          <w:szCs w:val="24"/>
          <w:highlight w:val="white"/>
        </w:rPr>
      </w:r>
    </w:p>
    <w:p>
      <w:pPr>
        <w:pStyle w:val="758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0" w:name="_Toc46743507"/>
      <w:r>
        <w:rPr>
          <w:color w:val="auto"/>
          <w:highlight w:val="white"/>
        </w:rPr>
        <w:t xml:space="preserve">Цель </w:t>
      </w:r>
      <w:bookmarkEnd w:id="10"/>
      <w:r>
        <w:rPr>
          <w:color w:val="auto"/>
          <w:highlight w:val="white"/>
        </w:rPr>
        <w:t xml:space="preserve">выполнения работ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left="0" w:right="0" w:firstLine="709"/>
        <w:jc w:val="both"/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риведение масло-мазутного хозяйства КТЭЦ-3 к требованиям, соответствующим п. 185 Приказа Ростехнадзора от 15 декабря 2020 года N 529 Об утверждении федеральных норм и правил в области промышленной безопасности "Правила промышленной безопасности складов неф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ти и нефтепродуктов".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/>
    </w:p>
    <w:p>
      <w:pPr>
        <w:ind w:left="0" w:right="0" w:firstLine="709"/>
        <w:jc w:val="both"/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Обеспечение надёжности электроснабжения потребителей.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/>
    </w:p>
    <w:p>
      <w:pPr>
        <w:ind w:left="0" w:right="0" w:firstLine="709"/>
        <w:jc w:val="both"/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Обеспечение безопасности эксплуатации оборудования.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/>
    </w:p>
    <w:p>
      <w:pPr>
        <w:ind w:left="0" w:right="0" w:firstLine="709"/>
        <w:jc w:val="both"/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Значительное снижение производственных затрат на ремонт оборудования.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/>
    </w:p>
    <w:p>
      <w:pPr>
        <w:ind w:firstLine="709"/>
        <w:jc w:val="both"/>
        <w:spacing w:before="120" w:after="240"/>
        <w:widowControl w:val="off"/>
        <w:tabs>
          <w:tab w:val="left" w:pos="426" w:leader="none"/>
        </w:tabs>
        <w:rPr>
          <w:rStyle w:val="997"/>
          <w:b w:val="0"/>
          <w:bCs w:val="0"/>
          <w:color w:val="auto"/>
          <w:sz w:val="24"/>
          <w:szCs w:val="24"/>
          <w:highlight w:val="white"/>
        </w:rPr>
      </w:pPr>
      <w:r>
        <w:rPr>
          <w:rStyle w:val="997"/>
          <w:b w:val="0"/>
          <w:bCs/>
          <w:color w:val="auto"/>
          <w:sz w:val="24"/>
          <w:szCs w:val="24"/>
          <w:highlight w:val="none"/>
        </w:rPr>
      </w:r>
      <w:r>
        <w:rPr>
          <w:rStyle w:val="997"/>
          <w:b w:val="0"/>
          <w:bCs w:val="0"/>
          <w:color w:val="auto"/>
          <w:sz w:val="24"/>
          <w:szCs w:val="24"/>
          <w:highlight w:val="white"/>
        </w:rPr>
      </w:r>
      <w:r>
        <w:rPr>
          <w:rStyle w:val="997"/>
          <w:b w:val="0"/>
          <w:bCs w:val="0"/>
          <w:color w:val="auto"/>
          <w:sz w:val="24"/>
          <w:szCs w:val="24"/>
          <w:highlight w:val="white"/>
        </w:rPr>
      </w:r>
    </w:p>
    <w:p>
      <w:pPr>
        <w:pStyle w:val="758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1" w:name="_Toc46743508"/>
      <w:r>
        <w:rPr>
          <w:color w:val="auto"/>
          <w:highlight w:val="white"/>
        </w:rPr>
        <w:t xml:space="preserve">Существующее положение</w:t>
      </w:r>
      <w:bookmarkEnd w:id="11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Модернизация осуществляется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в </w:t>
      </w:r>
      <w:r>
        <w:rPr>
          <w:color w:val="auto"/>
          <w:sz w:val="24"/>
          <w:szCs w:val="24"/>
          <w:highlight w:val="white"/>
          <w:shd w:val="clear" w:color="auto" w:fill="ffffff"/>
        </w:rPr>
        <w:t xml:space="preserve">условиях действующего предприятия</w:t>
      </w:r>
      <w:r>
        <w:rPr>
          <w:color w:val="auto"/>
          <w:sz w:val="24"/>
          <w:szCs w:val="24"/>
          <w:highlight w:val="white"/>
          <w:shd w:val="clear" w:color="auto" w:fill="ffffff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на территории промышленной площадки СП «Комсомольская ТЭЦ-3», расположенной по адресу: Хабаровский край, г. Комсомольск-на-Амуре, Северное шоссе, 151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925"/>
        <w:ind w:firstLine="283"/>
        <w:jc w:val="both"/>
        <w:spacing w:after="0" w:line="264" w:lineRule="auto"/>
        <w:rPr>
          <w:b/>
          <w:color w:val="auto"/>
          <w:sz w:val="22"/>
          <w:szCs w:val="22"/>
          <w:highlight w:val="white"/>
        </w:rPr>
      </w:pPr>
      <w:r>
        <w:rPr>
          <w:b/>
          <w:color w:val="auto"/>
          <w:sz w:val="24"/>
          <w:szCs w:val="24"/>
          <w:highlight w:val="white"/>
        </w:rPr>
        <w:t xml:space="preserve">Климатические условия площадки расположения объекта:</w:t>
      </w:r>
      <w:r>
        <w:rPr>
          <w:b/>
          <w:color w:val="auto"/>
          <w:sz w:val="22"/>
          <w:szCs w:val="22"/>
          <w:highlight w:val="white"/>
        </w:rPr>
      </w:r>
      <w:r>
        <w:rPr>
          <w:b/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Климатические параметры холодного периода года по СНиП 23-01-99 (для г. Комсомольска-на-Амуре):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холодных суток, обеспеченностью 0,98 минус 41°С;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холодных суток, обеспеченностью 0,92 минус 38°С;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–температура воздуха наиболее холодной пятидневки, обеспеченностью 0,98 минус 38°С;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холодной пятидневки, обеспеченностью 0,92 минус 36°С;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абсолютная минимальная температура воздуха – минус 45°С;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среднемесячная относительная влажность воздуха наиболее холодного месяца –78%;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относительная влажность воздуха в 15 ч наиболее холодного месяца – 76%.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Климатические параметры теплого периода года по СНиП 23-01-99 (для г. Комсомольска-на-Амуре):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барометрическое давление – 1005гПа;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воздуха, обеспеченностью 0,95 – плюс 24°С;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воздуха, обеспеченностью 0,98 – плюс 27°С;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максимальная температура воздуха наиболее теплого месяца плюс 26,7°С;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абсолютная максимальная температура воздуха – плюс 36°С;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среднемесячная относительная влажность воздуха наиболее теплого месяца – 76%;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относительная влажность воздуха в 15 ч наиболее теплого месяца– 62%.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</w:r>
      <w:r>
        <w:rPr>
          <w:b/>
          <w:bCs/>
          <w:color w:val="auto"/>
          <w:sz w:val="24"/>
          <w:szCs w:val="24"/>
          <w:highlight w:val="white"/>
        </w:rPr>
        <w:t xml:space="preserve">Документы предоставляемые Заказчиком по письменному запросу Подрядчика</w:t>
      </w:r>
      <w:r>
        <w:rPr>
          <w:b/>
          <w:bCs/>
          <w:color w:val="auto"/>
          <w:sz w:val="24"/>
          <w:szCs w:val="24"/>
          <w:highlight w:val="white"/>
        </w:rPr>
        <w:t xml:space="preserve">: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966"/>
        <w:numPr>
          <w:ilvl w:val="0"/>
          <w:numId w:val="28"/>
        </w:numPr>
        <w:ind w:left="0" w:right="0" w:firstLine="283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Генеральный план производственной площадки СП «Комсомольская ТЭЦ-3»;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pStyle w:val="966"/>
        <w:numPr>
          <w:ilvl w:val="0"/>
          <w:numId w:val="28"/>
        </w:numPr>
        <w:ind w:left="0" w:right="0" w:firstLine="283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Проектная и Рабочая документация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«Модернизация электрических кабелей оборудования масло-мазутного хозяйства Комсомольской ТЭЦ3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08.25 – в объеме, необходимом для выполнения Работ по Договору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755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2" w:name="_Toc54646400"/>
      <w:r>
        <w:rPr>
          <w:color w:val="auto"/>
          <w:highlight w:val="white"/>
        </w:rPr>
        <w:t xml:space="preserve">Таблица 1. Перечень объектов заказчика</w:t>
      </w:r>
      <w:bookmarkEnd w:id="12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объекта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Расположение объекта </w:t>
            </w:r>
            <w:r>
              <w:rPr>
                <w:color w:val="auto"/>
                <w:sz w:val="24"/>
                <w:szCs w:val="24"/>
                <w:highlight w:val="white"/>
              </w:rPr>
              <w:br/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(место производства работ)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основного средства </w:t>
            </w:r>
            <w:r>
              <w:rPr>
                <w:color w:val="auto"/>
                <w:sz w:val="24"/>
                <w:szCs w:val="24"/>
                <w:highlight w:val="white"/>
              </w:rPr>
              <w:br/>
              <w:t xml:space="preserve">(в отношении которого выполняются работы)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Примечания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817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10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2864" w:type="dxa"/>
            <w:textDirection w:val="lrTb"/>
            <w:noWrap w:val="false"/>
          </w:tcPr>
          <w:p>
            <w:pPr>
              <w:jc w:val="both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681034, Хабаровский край, г. Комсомольск-на-Амуре, Северное шоссе, 151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i/>
                <w:color w:val="auto"/>
                <w:sz w:val="24"/>
                <w:szCs w:val="24"/>
                <w:highlight w:val="none"/>
              </w:rPr>
              <w:t xml:space="preserve">Наружные кабельные сети на территории промплощадки КТЭЦ-3 (Инв. № 00000000000000009993/ B040000002011)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jc w:val="lef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2.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vMerge w:val="restart"/>
            <w:textDirection w:val="lrTb"/>
            <w:noWrap w:val="false"/>
          </w:tcPr>
          <w:p>
            <w:pPr>
              <w:jc w:val="both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681034, Хабаровский край, г. Комсомольск-на-Амуре, Северное шоссе, 151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Наружное охранное освещение (Инв. № 00000000000000009997/ B040000002017)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</w:tr>
    </w:tbl>
    <w:p>
      <w:pPr>
        <w:pStyle w:val="755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13" w:name="_Toc51339693"/>
      <w:r>
        <w:rPr>
          <w:color w:val="auto"/>
          <w:highlight w:val="white"/>
        </w:rPr>
      </w:r>
      <w:bookmarkStart w:id="14" w:name="_Toc54646403"/>
      <w:r>
        <w:rPr>
          <w:color w:val="auto"/>
          <w:highlight w:val="white"/>
        </w:rPr>
        <w:t xml:space="preserve">Требования к продукции</w:t>
      </w:r>
      <w:bookmarkEnd w:id="13"/>
      <w:r>
        <w:rPr>
          <w:color w:val="auto"/>
          <w:highlight w:val="white"/>
        </w:rPr>
      </w:r>
      <w:bookmarkEnd w:id="14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pStyle w:val="758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5" w:name="_Toc54646404"/>
      <w:r>
        <w:rPr>
          <w:color w:val="auto"/>
          <w:highlight w:val="white"/>
        </w:rPr>
        <w:t xml:space="preserve">Требования к объемам и срокам выполнения работ</w:t>
      </w:r>
      <w:bookmarkEnd w:id="15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7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6" w:name="_Toc54646405"/>
      <w:r>
        <w:rPr>
          <w:color w:val="auto"/>
          <w:highlight w:val="white"/>
        </w:rPr>
        <w:t xml:space="preserve">Требования к видам и объемам работ</w:t>
      </w:r>
      <w:bookmarkEnd w:id="16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5"/>
        <w:numPr>
          <w:ilvl w:val="0"/>
          <w:numId w:val="0"/>
        </w:numPr>
        <w:rPr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bookmarkStart w:id="17" w:name="_Toc51339695"/>
      <w:r>
        <w:rPr>
          <w:color w:val="auto"/>
          <w:highlight w:val="white"/>
        </w:rPr>
      </w:r>
      <w:bookmarkStart w:id="18" w:name="_Toc54646406"/>
      <w:r>
        <w:rPr>
          <w:color w:val="auto"/>
          <w:sz w:val="24"/>
          <w:szCs w:val="24"/>
          <w:highlight w:val="white"/>
        </w:rPr>
        <w:t xml:space="preserve">Таблица 2. Перечень </w:t>
      </w:r>
      <w:bookmarkEnd w:id="17"/>
      <w:r>
        <w:rPr>
          <w:color w:val="auto"/>
          <w:sz w:val="24"/>
          <w:szCs w:val="24"/>
          <w:highlight w:val="white"/>
        </w:rPr>
        <w:t xml:space="preserve">и объем выполняемых работ</w:t>
      </w:r>
      <w:bookmarkEnd w:id="18"/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работ 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Единица измерения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Количество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12"/>
              </w:numPr>
              <w:jc w:val="right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строительно-монтажных работ по модернизации наружных сетей электроснабжения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12"/>
              </w:numPr>
              <w:jc w:val="right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строительно-монтажных работ по модернизации наружных сетей электроосвещения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пуско-наладочных работ по модернизации наружных сетей электроснабжения и наружных сетей электроосвещения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3.1.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пуско-наладочных работ по модернизации наружных сетей электроснабжения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3.2.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пуско-наладочных работ по модернизации наружных сетей электроосвещения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pStyle w:val="757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23" w:name="_Toc51339696"/>
      <w:r>
        <w:rPr>
          <w:color w:val="auto"/>
          <w:highlight w:val="white"/>
        </w:rPr>
      </w:r>
      <w:bookmarkStart w:id="24" w:name="_Toc54646407"/>
      <w:r>
        <w:rPr>
          <w:color w:val="auto"/>
          <w:highlight w:val="white"/>
        </w:rPr>
        <w:t xml:space="preserve">Требования </w:t>
      </w:r>
      <w:bookmarkEnd w:id="23"/>
      <w:r>
        <w:rPr>
          <w:color w:val="auto"/>
          <w:highlight w:val="white"/>
        </w:rPr>
        <w:t xml:space="preserve">к срокам выполнения работ</w:t>
      </w:r>
      <w:bookmarkEnd w:id="24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5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25" w:name="_Toc50125127"/>
      <w:r>
        <w:rPr>
          <w:color w:val="auto"/>
          <w:highlight w:val="white"/>
        </w:rPr>
      </w:r>
      <w:bookmarkStart w:id="26" w:name="_Toc51339697"/>
      <w:r>
        <w:rPr>
          <w:color w:val="auto"/>
          <w:highlight w:val="white"/>
        </w:rPr>
      </w:r>
      <w:bookmarkStart w:id="27" w:name="_Toc54646408"/>
      <w:r>
        <w:rPr>
          <w:color w:val="auto"/>
          <w:highlight w:val="white"/>
        </w:rPr>
        <w:t xml:space="preserve">Таблица 3. </w:t>
      </w:r>
      <w:bookmarkStart w:id="28" w:name="_Hlk50465284"/>
      <w:r>
        <w:rPr>
          <w:color w:val="auto"/>
          <w:highlight w:val="white"/>
        </w:rPr>
        <w:t xml:space="preserve">Требования по срокам </w:t>
      </w:r>
      <w:bookmarkEnd w:id="25"/>
      <w:r>
        <w:rPr>
          <w:color w:val="auto"/>
          <w:highlight w:val="white"/>
        </w:rPr>
      </w:r>
      <w:bookmarkEnd w:id="26"/>
      <w:r>
        <w:rPr>
          <w:color w:val="auto"/>
          <w:highlight w:val="white"/>
        </w:rPr>
      </w:r>
      <w:bookmarkEnd w:id="28"/>
      <w:r>
        <w:rPr>
          <w:color w:val="auto"/>
          <w:highlight w:val="white"/>
        </w:rPr>
        <w:t xml:space="preserve">выполнения работ</w:t>
      </w:r>
      <w:bookmarkEnd w:id="27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406"/>
        <w:gridCol w:w="2551"/>
        <w:gridCol w:w="2690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 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работ/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Требования к началу срока выполнения работ/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Требования к окончанию срока выполнения работ 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5"/>
              <w:jc w:val="center"/>
              <w:keepNext w:val="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pStyle w:val="995"/>
              <w:jc w:val="center"/>
              <w:keepNext w:val="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13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строительно-монтажных работ по модернизации наружных сетей электроснабжения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 даты, следующей за датой заключения Договора, но не ранее 1 июля 2026г.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60 календарных дней с даты начала выполнения 1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66"/>
              <w:numPr>
                <w:ilvl w:val="0"/>
                <w:numId w:val="13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строительно-монтажных работ по модернизации наружных сетей электроосвещения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30 календарных дней с даты начала выполнения Работ по Договору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60 календарных дней с даты начала выполнения 2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Выполнение пуско-наладочных работ по модернизации наружных сетей электроснабжения и наружных сетей электроосвещения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 даты, следующей за датой окончания 2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30 календарных дней с даты начала выполнения 3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color w:val="auto"/>
          <w:sz w:val="24"/>
          <w:szCs w:val="24"/>
          <w:highlight w:val="whit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color w:val="auto"/>
          <w:highlight w:val="white"/>
        </w:rPr>
      </w:r>
      <w:bookmarkStart w:id="30" w:name="_Toc50125131"/>
      <w:r>
        <w:rPr>
          <w:rFonts w:eastAsia="Calibri"/>
          <w:b/>
          <w:color w:val="auto"/>
          <w:sz w:val="24"/>
          <w:szCs w:val="24"/>
          <w:highlight w:val="white"/>
        </w:rPr>
      </w:r>
      <w:r>
        <w:rPr>
          <w:rFonts w:eastAsia="Calibri"/>
          <w:b/>
          <w:color w:val="auto"/>
          <w:sz w:val="24"/>
          <w:szCs w:val="24"/>
          <w:highlight w:val="white"/>
        </w:rPr>
      </w:r>
    </w:p>
    <w:p>
      <w:pPr>
        <w:pStyle w:val="758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1" w:name="_Toc51339698"/>
      <w:r>
        <w:rPr>
          <w:color w:val="auto"/>
          <w:highlight w:val="white"/>
        </w:rPr>
      </w:r>
      <w:bookmarkStart w:id="32" w:name="_Toc54646410"/>
      <w:r>
        <w:rPr>
          <w:color w:val="auto"/>
          <w:highlight w:val="white"/>
        </w:rPr>
        <w:t xml:space="preserve">Требования к качеству продукции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5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  <w:t xml:space="preserve">Таблица 4. Требования к </w:t>
      </w:r>
      <w:bookmarkEnd w:id="30"/>
      <w:r>
        <w:rPr>
          <w:color w:val="auto"/>
          <w:highlight w:val="white"/>
        </w:rPr>
      </w:r>
      <w:bookmarkEnd w:id="31"/>
      <w:r>
        <w:rPr>
          <w:color w:val="auto"/>
          <w:highlight w:val="white"/>
        </w:rPr>
        <w:t xml:space="preserve">качеству </w:t>
      </w:r>
      <w:bookmarkEnd w:id="32"/>
      <w:r>
        <w:rPr>
          <w:color w:val="auto"/>
          <w:highlight w:val="white"/>
        </w:rPr>
        <w:t xml:space="preserve">продукции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spacing w:after="120"/>
        <w:rPr>
          <w:rStyle w:val="997"/>
          <w:b w:val="0"/>
          <w:color w:val="auto"/>
          <w:sz w:val="24"/>
          <w:szCs w:val="24"/>
          <w:highlight w:val="white"/>
        </w:rPr>
      </w:pPr>
      <w:r>
        <w:rPr>
          <w:b w:val="0"/>
          <w:color w:val="auto"/>
          <w:sz w:val="24"/>
          <w:szCs w:val="24"/>
          <w:highlight w:val="white"/>
        </w:rPr>
      </w:r>
      <w:r>
        <w:rPr>
          <w:rStyle w:val="997"/>
          <w:b w:val="0"/>
          <w:color w:val="auto"/>
          <w:sz w:val="24"/>
          <w:szCs w:val="24"/>
          <w:highlight w:val="white"/>
        </w:rPr>
      </w:r>
      <w:r>
        <w:rPr>
          <w:rStyle w:val="997"/>
          <w:b w:val="0"/>
          <w:color w:val="auto"/>
          <w:sz w:val="24"/>
          <w:szCs w:val="24"/>
          <w:highlight w:val="white"/>
        </w:rPr>
      </w:r>
    </w:p>
    <w:p>
      <w:pPr>
        <w:spacing w:after="120"/>
        <w:rPr>
          <w:b/>
          <w:bCs/>
          <w:iCs/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Наименование работ: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строительно-монтажные работы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</w:r>
      <w:r>
        <w:rPr>
          <w:b/>
          <w:bCs/>
          <w:iCs/>
          <w:color w:val="auto"/>
          <w:sz w:val="24"/>
          <w:szCs w:val="24"/>
          <w:highlight w:val="white"/>
        </w:rPr>
      </w:r>
      <w:r>
        <w:rPr>
          <w:b/>
          <w:bCs/>
          <w:iCs/>
          <w:color w:val="auto"/>
          <w:sz w:val="24"/>
          <w:szCs w:val="24"/>
          <w:highlight w:val="white"/>
        </w:rPr>
      </w:r>
    </w:p>
    <w:tbl>
      <w:tblPr>
        <w:tblStyle w:val="92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74"/>
        <w:gridCol w:w="2291"/>
        <w:gridCol w:w="2026"/>
        <w:gridCol w:w="2835"/>
        <w:gridCol w:w="1059"/>
        <w:gridCol w:w="1059"/>
        <w:gridCol w:w="1059"/>
        <w:gridCol w:w="3622"/>
      </w:tblGrid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№ п/п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Требование заказчика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68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86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31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22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выполнению работ 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  <w:color w:val="auto"/>
                <w:highlight w:val="white"/>
              </w:rPr>
            </w:pPr>
            <w:r>
              <w:rPr>
                <w:b/>
                <w:bCs/>
                <w:color w:val="auto"/>
                <w:highlight w:val="white"/>
              </w:rPr>
            </w:r>
            <w:r>
              <w:rPr>
                <w:b/>
                <w:bCs/>
                <w:color w:val="auto"/>
                <w:highlight w:val="white"/>
              </w:rPr>
            </w:r>
            <w:r>
              <w:rPr>
                <w:b/>
                <w:bCs/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shd w:val="clear" w:color="auto" w:fill="auto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При выполнении строительно-монтажных работ необходимо  руководствоваться следующим перечнем документации: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br/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  <w:lang w:bidi="ru-RU"/>
              </w:rPr>
              <w:t xml:space="preserve">Федерального  закона  от 22.07.2008 № 123-ФЗ «Технический регламент о требованиях пожарной безопасности» в последней редакции, РД 153-34.0-49.101-2003 и иных нормативно-технических документов.</w:t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№ 384-ФЗ от 30.12.2009 «Технический регламент о безопасности зданий и сооружений»;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ГОСТ 12.1.004-91 «Система стандартов безопасности труда. Пожарная безопасность. Общие требования»;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№ 7-ФЗ от 10.01.2002 «Об охране окружающей среды»;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  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ГОСТ Р 51164-98 «Трубопроводы стальные магистральные. Общие тр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ебования по защите от коррозии»;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СП 14.13330.2014 «СНиП II-7-81* Строительство в сейсмических районах»;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№ 99-ФЗ от 04.05.2011 «О лицензировании отдельных видов деятельности»;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СНиП 12-03-2001. «Безопасность труда в строительстве. Часть 1. Общие требования»;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СНиП 12-04-2002. «Безопасность труда в строительстве. Часть 2. Строительное производство»;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№ 116-ФЗ от 21 июля 1997 "О промышленной безопасности опасных производственных объектов" (с изм. и доп., вступ. в силу с 01.09.2025);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CП 48.13330.2019. Свод правил «Организация строительства»;</w:t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  <w:t xml:space="preserve">CП 28.13330.2021. Свод правил «Защита строительных конструкций от коррозии»;</w:t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widowControl w:val="off"/>
              <w:tabs>
                <w:tab w:val="left" w:pos="5279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</w:rPr>
              <w:t xml:space="preserve">СТ 31565-2012 «Кабельные изделия. Требования пожарной безопасности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shd w:val="clear" w:color="auto" w:fill="ffffff"/>
              </w:rPr>
              <w:t xml:space="preserve">»;</w:t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pacing w:val="-5"/>
                <w:sz w:val="24"/>
                <w:szCs w:val="24"/>
                <w:highlight w:val="none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color w:val="auto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- Федеральный закон от 24.06.1998 №89-ФЗ «Об отходах производства и потребления»;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- СП 32.13330.2018 «Канализация. Наружные сети и сооружения»;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0" w:firstLine="283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– СП 76.13330.2016 «Электротехнические устройства».  Утвржден приказом Министерства строительства и ЖКХ РФ от 16.12.2016 №955/пр;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0" w:firstLine="283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-Правила устройства электроустановок» п.2.3.23 утверждены Приказом Минэнерго РФ № 204 от 08.07.2002г.;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0" w:firstLine="283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-СП 76.13330.2016 «Электротехнические устройства» (актуализированная редакция)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п. 6.4.8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-ПРАВИЛА ПОЖАРНОЙ БЕЗОПАСНОСТИ ДЛЯ ЭНЕРГЕТИЧЕСКИХ ПРЕДПРИЯТИЙ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РД 153-34.0-03.301-00(ВППБ 01-02-95*) (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гл.15)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-Приказ Министерства Труда и социальной защиты РФ № 903н от 15.12.2020г. «Об утверждении правил по охране труда при эксплуатации электроустановок».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  <w:lang w:val="en-US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Перечень строительно-монтажных и пусконаладочных работ, требования к выполнению работ.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 соответствии с Ведомостью объемов работ (Приложение № 5 к настоящим ТТ).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ри выполнении работ по прокладке кабелей выполнять требования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предварительному подогреву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лей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п. 6.4.5.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СП 76.13330.2016 «Электротехнические устройства», утвержденного приказом Министерства строительства и ЖКХ РФ от 16.12.2016 № 955/пр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При маркировке кабелей выполнять требования п.2.3.23 ПУЭ и п. 6.4.8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СП 76.13330.2016 «Электротехнические устройства».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При прокладке кабельных линий руководствоваться требованиями гл.15 Правил пожарной безопасности для энергетических предприятий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ВППБ 01-02-95.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М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атериалы и оборудование, приобретаемые в целях реализации данного проекта, должны соответствовать Ведомости материалов и оборудования подрядчика (Приложение № 6 Техническим требованиям в составе Пакета закупочной документации), иметь необходимые сертификат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ы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(соответствия, качества и т.д.), разрешение на применение на территории РФ, соответствовать ГОСТам и подлежат согласованию с Заказчиком. Копии сертификатов должны быть представлены Заказчику за 5 (пять) рабочих дней до начала выполнения Работ по Договору.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Стоимость материалов при составлении актов выполненных работ по форме КС-2 должна подтверждаться накладными и счетами-фактурами, которые предоставляются Заказчику вместе с актами выполненных работ.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/>
          </w:p>
          <w:p>
            <w:pPr>
              <w:ind w:firstLine="283"/>
              <w:jc w:val="both"/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се материалы и оборудование, применимые при выполнении работ, должны соответствовать ПД и РД либо эквивалент (Эквивалентная продукция – это продукция, которая по техническим и функциональным характеристикам не уступает характеристикам, заявленным в докумен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т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ации о закупке, в том числе, по гарантийным срокам и срокам эксплуатации.). Участник должен принять во внимание, что ссылка на марку (тип) продукции, указанной в Технических требованиях и/ или приложениях к ним, носит описательный, а не обязательный характ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е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р. В случае если в Технических Требованиях и/или приложениях к ним указаны конкретные производители, торговые марки, фирменные наименования, модели или источник происхождения материалов и продукции, Подрядчик, определенный в соответствии с результатами зак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упочной процедуры, на этапе исполнения договора может предложить эквивалентную продукцию, характеристики которой не хуже предусмотренных в Технических Требованиях.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/>
          </w:p>
          <w:p>
            <w:pPr>
              <w:ind w:firstLine="283"/>
              <w:jc w:val="both"/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ри этом, Подрядчик должен предоставить Заказчику исчерпывающую информацию об эквивалентной продукции, а предлагаемые замены не должны оказывать влияние на безопасность объекта и обеспечивать выполнение требований проектной и рабочей документации (ведомости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объемов работ).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/>
          </w:p>
          <w:p>
            <w:pPr>
              <w:ind w:firstLine="283"/>
              <w:jc w:val="both"/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случае, если применение Подрядчиком эквивалентных материалов будет согласовано Заказчиком и потребует внесения изменений в проектную/рабочую документацию, такие изменения также производятся за счет Подрядчика.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/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ри приобретении материалов и оборудования руководствоваться Постановлением Правительства РФ от 23.12.2024г. № 1875 «О мерах по предоставлению национального режима при осуществлении закупок товаров, работ, услуг для обеспечения государственных и муниципальн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ых нужд, закупок товаров, работ, услуг отдельными видами юридических лиц».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highlight w:val="white"/>
              </w:rPr>
              <w:t xml:space="preserve">–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контролю качества работ и материалов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Контроль качества поступающих материалов осуществляется в соответствии с пунктом 2.3.11.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  <w:p>
            <w:pPr>
              <w:pStyle w:val="991"/>
              <w:jc w:val="left"/>
              <w:keepNext w:val="0"/>
              <w:rPr>
                <w:rFonts w:eastAsia="Times New Roman"/>
                <w:b w:val="0"/>
                <w:bCs/>
                <w:color w:val="auto"/>
                <w:highlight w:val="white"/>
              </w:rPr>
              <w:outlineLvl w:val="2"/>
            </w:pP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персоналу подрядчика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Персонал подрядной организации, на производственной площадке Заказчика, должен иметь документ, подтверждающий допуск к работам в электроустановках,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документ,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подтверждающий обучение и аттестацию по промышленной безопасности, документ подтверждающий право работ на высоте, со специальными подъемными механизмами, до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кумент подтверждающий прохождения обучения по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охране труда, пожарной и промышленной безопасности,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удостоверения по про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верке знаний ТБ. До начала работ пройти вводный инструктаж в СПБ и ОТ и первичный инструктаж в производственном подразделении. Персонал обязан соблюдать правила внутреннего трудового распорядка и производственной дисциплины так же как и персонал СП КТЭЦ-3.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Персонал Подрядчика должен иметь допуск к работе выданный медицинской комиссией.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Персонал Подрядчика должен иметь фирменную спецодежду и средства индивидуальной защиты.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Персонал Подрядчика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</w:rPr>
              <w:t xml:space="preserve"> должен пройти соответствующую подготовку, иметь квалификацию, опыт и компетенцию, позволяющие обеспечить надлежащее и качественное выполнение Работ.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«Правил по охране труда при эксплуатации электроустановок» утвержденных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Приказом Министерства Труда и социальной защиты РФ № 903н от 15.12.2020г.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иметь в наличии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ru-RU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 работ, производитель работ и всех членов бригады)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имеющих определенную группу допуска к работе в электроустановках: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руководитель работ – не ниже V группы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 электробезопасности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производитель работ – не ниже IV группы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 электробезопасности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члены бригады – не ниже III группы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 электробезопасности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организации выполнения Работ: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1. Руководство Работами осуществляется инженерно-техническим работником, аттестованным по правилам техники безопасности, пожарной безопасности.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Заказчик назначает на объекте своего представителя, который от имени Заказчика осуществляет технический надзор и контроль за качеством выполняемых работ, а также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роизводит проверку соответствия материалов и оборудования, используемых Подрядчиком, условиям договора подряда и проектной документации, строительным нормам и правилам, стандартам,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сертификатам, техническим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условиям и другим нормативно-методическим документ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ам Российской Федерации, оформляет акты на выполненные работы.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Все оборудование, используемое для проведения работ, должно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быть исправным, прошедшим испытания и поверку. Подключение переносного электрического оборудования (электроинструмент и т.п.), необходимого для проведения работ,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Подрядчик проводит в установленном порядке. Самовольное подключение вышеуказанного оборудован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ия запрещается. Выполнять работы необходимо обученными аттестованными специалистами.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3. В процессе выполнени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я работ  предусмотреть мероприятия, исключающие загрязнение прилегающей территории строительными отходами. Не допускается сжигание на территории Заказчика и прилегающей территории строительных отходов.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4. Выполнение Работ не должно препятствовать или соз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давать неудобства в работе СП «Комсомольская ТЭЦ-3».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5. До начала выполнения работ, Заказчику предоставляется список сотрудников привлеченных к выполнению работ на Объекте, с указанием фамилии, имени и отчества, года рождения и паспортных данных, места регистрации, в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случае привлечения иностранных граждан, разрешение на работу.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6. Уборка и вывоз строительного мусора осуществляется силами Подрядчика, место установки контейнера и график вывоза согласовывается с Заказчиком.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7. По окончании работ, в течение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3-х дней, произвести уборку строительного мусора и элементов разборки с места производства работ.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pStyle w:val="966"/>
              <w:ind w:left="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В соответствии с пунктом 2.3.13 Договора и Приложением № 3 к настоящим ТТ.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На местах выполнения работ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одрядчик обязан иметь первичные средства пожаротушения, а на противопожарные цели использовать гидранты.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Ответственность за соблюдением правил пожарной безопасности, охрана труда на объекте возлагается на Подрядчика, который своим приказом должен назн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ачить лицо, ответственное за проведение работ и соблюдение вышеуказанных правил. Копия приказа на ответственного представителя Подрядчика должна быть представлена Заказчику до начала выполнения работ.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При выполнении работ Подрядчик обязан соблюдать тр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Во время производства работ Подрядчик обязан осуществлять на объекте необходимые противоп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ожарные мероприятия, мероприятия по технике безопасности и охране окружающей среды.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При выполнении работ дополнительно необходимо собл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результатам работ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4"/>
        </w:trPr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Основные характеристики объекта 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м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о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д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е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р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н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и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з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ц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и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и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Согласно Проектной документации в состав объекта входит группа резервуаров, расположенных на огражденной территории с обваловкой по периметру размещения, здание ММХ, кабельная эстакада, железнодорожная сливная эстакада.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272" w:right="0" w:firstLine="0"/>
              <w:jc w:val="both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Здание ММХ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Габаритные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размеры в осях – 73,06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*12.76 м;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Количество этажей – 1;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Каркасное с железобетонными несущими колоннами сечением 400-400 мм;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Материал стен – железобетонные панели толщиной 400 мм;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Кровля – плоская, с покрытием из рулонных материалов;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 здании установлено крановое оборудование;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 здании насосной располагаются помещения классов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ожарной опасности: В-1, П-1, П-IIА, В-1а.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1. Наружные сети освещения: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Прожекторы, отдельно устан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авливаемые на стальной мачте, с лампой мощностью 500 Вт – подлежат замене согласно Ведомости объемов работ (Приложение № 5 к Техническим требованиям в составе Пакета закупочной документации) и Ведомости материалов и оборудования подрядчика (Приложение № 6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к Техническим требованиям в составе Пакета закупочной документации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Кабели 0,4 кВ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– подлежат замене согласно Ведомости объемов работ (Приложение № 5 к Техническим требованиям в составе Пакета закупочной документации) и Ведомости материалов и оборудования подрядчика (Приложение № 6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к Техническим требованиям в составе Пакета закупочной документации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2. Наружные сети электроснабжения: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Питающие кабели 6 кВ, проложенные наружным способом в коробах типа ККБ и кабельных лотках внутри помещения до камер трансформаторов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– подлежат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замене согласно Ведомости объемов работ (Приложение № 5 к Техническим требованиям в составе Пакета закупочной документации) и Ведомости материалов и оборудования подрядчика (Приложение № 6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к Техническим требованиям в составе Пакета закупочной документации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).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rStyle w:val="997"/>
                <w:b w:val="0"/>
                <w:bCs/>
                <w:i w:val="0"/>
                <w:color w:val="auto"/>
                <w:sz w:val="24"/>
                <w:szCs w:val="24"/>
                <w:highlight w:val="white"/>
                <w:shd w:val="clear" w:color="auto" w:fill="auto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разделом 4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оформлению документации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разделом 4 Договора, Приложениями №№ 10, 11 к Договору, Приложением № 2 к настоящим ТТ.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ответственности и гарантиям подрядчика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разделами № 7, 8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пунктом 2.3., 2.4.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>
          <w:trHeight w:val="434"/>
        </w:trPr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Особые условия Заказчика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587"/>
        </w:trPr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6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На этапе заключения Договора Подрядчик предоставляет на согласование Заказчику График выполнения и финансирования работ.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 течение 15 (пятнадцати) календарных дней с даты заключения Договора (не позднее даты начала выполнения Работ по Договору) Подрядчик предоставляет Заказчику документы, указанные в п. 2.3.31 Договора.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После окончания работ в сроки, предусмотренные Договором, Подрядчик представляет Исполнительную документацию в объёме и форме определённой Заказчиком в Приложениях №№ 10, 11 к Договору и разделе № 4 Договора.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- Заказчик в части своей компетенции предоставляет необходимые данные для выполнения работ по запросу Подрядчика в согласованные сроки. 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- Особые требования Заказчика, неучтенные заданием оговариваются с подрядчиком на технических совещаниях с оформлением протокола.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991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>
          <w:trHeight w:val="1004"/>
        </w:trPr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pStyle w:val="966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Требования к Победителю: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4"/>
            <w:tcW w:w="6800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ind w:left="360" w:firstLine="0"/>
              <w:jc w:val="left"/>
              <w:spacing w:before="60" w:after="6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6.1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7"/>
            <w:tcW w:w="1395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Участник, признанный победителем закупочной процедуры,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в течение 5 (пяти) рабочих дней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после размещения протокола подведения итогов закупки на сайте </w:t>
            </w:r>
            <w:hyperlink r:id="rId13" w:tooltip="http://www.zakupki.gov.ru" w:history="1">
              <w:r>
                <w:rPr>
                  <w:rStyle w:val="936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non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(до заключения договора), должен предоставить в адрес Заказчика на электронный адрес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hyperlink r:id="rId14" w:tooltip="http://kuzmischeva-iv@dgk.ru" w:history="1">
              <w:r>
                <w:rPr>
                  <w:rStyle w:val="936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none"/>
                </w:rPr>
                <w:t xml:space="preserve">kuzmischeva-iv@dgk.ru</w:t>
              </w:r>
              <w:r>
                <w:rPr>
                  <w:rStyle w:val="936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none"/>
                </w:rPr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дополнительные документы.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В случае непредоставления документов , указанных в пункте 6.2 в установленный срок, в соответствии с условиями Документации о закупке, Победитель призна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r/>
            <w:r/>
          </w:p>
        </w:tc>
      </w:tr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ind w:left="360" w:firstLine="0"/>
              <w:jc w:val="left"/>
              <w:spacing w:before="60" w:after="6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6.2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15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142" w:right="141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Согласно требования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Приказа Минтруда России от 27.11.2020 N 835н "Об утверждении Правил по охране труда при работе с инструментом и приспособлениями" (Зарегистрировано в Минюсте России 11.12.2020 N 61411)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иметь в наличии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ru-RU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 работ, производитель работ и всех членов бригады)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прошедших проверку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знаний требований охраны труда включая требования по охране труда при работе  с инструментом и приспособлениями.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color w:val="ff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none"/>
              </w:rPr>
            </w:r>
            <w:r>
              <w:rPr>
                <w:color w:val="ff0000"/>
              </w:rPr>
            </w:r>
            <w:r>
              <w:rPr>
                <w:color w:val="ff0000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2) 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«Правил по охране труда при эксплуатации электроустановок» утвержденных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Приказом Министерства Труда и социальной защиты РФ № 903н от 15.12.2020г.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иметь в наличии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ru-RU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  3 человек (руководитель работ, производитель работ и всех членов бригады)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имеющих определенную группу допуска к работе в электроустановках: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руководитель работ – не ниже V группы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 электробезопасности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производитель работ – не ниже IV группы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 электробезопасности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члены бригады – не ниже III группы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 электробезопасности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4"/>
            <w:tcW w:w="6800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Подтверждается: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141"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1.1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 работ,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Документы, подтверждающие проверку знаний требований охраны труда при работе с инструментом и приспособлениями, обученных лиц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которые будут непосредственно на объектах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выполнять работы по Наряду-допуску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141" w:firstLine="283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Удо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стоверения о проверке знаний правил работы в электроустановках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3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(руководитель, производитель работ и всех членов бригады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ind w:left="0" w:right="141" w:firstLine="283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для руководителя работ – не ниже V группы по электробезопасности;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141" w:firstLine="283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для производителя работ – не ниже IV группы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 электробезопасности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141" w:firstLine="283"/>
              <w:jc w:val="both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для членов бригады – не ниже III группы по электробезопасности.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r/>
            <w:r/>
          </w:p>
        </w:tc>
      </w:tr>
    </w:tbl>
    <w:p>
      <w:pPr>
        <w:jc w:val="center"/>
        <w:rPr>
          <w:b/>
          <w:i/>
          <w:color w:val="auto"/>
          <w:sz w:val="24"/>
          <w:szCs w:val="24"/>
          <w:highlight w:val="white"/>
        </w:rPr>
      </w:pP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</w:p>
    <w:p>
      <w:pPr>
        <w:jc w:val="center"/>
        <w:rPr>
          <w:b/>
          <w:i/>
          <w:color w:val="auto"/>
          <w:sz w:val="24"/>
          <w:szCs w:val="24"/>
          <w:highlight w:val="white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</w:p>
    <w:p>
      <w:pPr>
        <w:pStyle w:val="755"/>
        <w:ind w:left="0" w:firstLine="0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4" w:name="_Toc53393312"/>
      <w:r>
        <w:rPr>
          <w:color w:val="auto"/>
          <w:highlight w:val="white"/>
        </w:rPr>
      </w:r>
      <w:bookmarkStart w:id="35" w:name="_Toc54646411"/>
      <w:r>
        <w:rPr>
          <w:color w:val="auto"/>
          <w:highlight w:val="white"/>
        </w:rPr>
      </w:r>
      <w:bookmarkStart w:id="36" w:name="_Toc46743519"/>
      <w:r>
        <w:rPr>
          <w:color w:val="auto"/>
          <w:highlight w:val="white"/>
        </w:rPr>
      </w:r>
      <w:bookmarkStart w:id="37" w:name="_Toc51339699"/>
      <w:r>
        <w:rPr>
          <w:color w:val="auto"/>
          <w:highlight w:val="white"/>
        </w:rPr>
        <w:t xml:space="preserve">Требования к документации по ценообразованию</w:t>
      </w:r>
      <w:bookmarkEnd w:id="34"/>
      <w:r>
        <w:rPr>
          <w:color w:val="auto"/>
          <w:highlight w:val="white"/>
        </w:rPr>
        <w:t xml:space="preserve"> на этапе закупки</w:t>
      </w:r>
      <w:bookmarkEnd w:id="35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8"/>
        <w:numPr>
          <w:ilvl w:val="0"/>
          <w:numId w:val="0"/>
        </w:numPr>
        <w:ind w:firstLine="709"/>
        <w:jc w:val="both"/>
        <w:spacing w:before="0" w:after="0"/>
        <w:rPr>
          <w:b w:val="0"/>
          <w:bCs w:val="0"/>
          <w:color w:val="auto"/>
          <w:highlight w:val="white"/>
          <w14:ligatures w14:val="none"/>
        </w:rPr>
      </w:pPr>
      <w:r>
        <w:rPr>
          <w:b w:val="0"/>
          <w:bCs w:val="0"/>
          <w:color w:val="auto"/>
          <w:highlight w:val="whit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</w:t>
      </w:r>
      <w:r>
        <w:rPr>
          <w:b w:val="0"/>
          <w:bCs w:val="0"/>
          <w:color w:val="auto"/>
          <w:highlight w:val="white"/>
        </w:rPr>
        <w:t xml:space="preserve">нию), приведенной в Документации о закупке с указанием понижающего коэффициента. </w:t>
      </w:r>
      <w:r>
        <w:rPr>
          <w:b w:val="0"/>
          <w:bCs w:val="0"/>
          <w:color w:val="auto"/>
          <w:highlight w:val="white"/>
        </w:rPr>
        <w:t xml:space="preserve">Величину</w:t>
      </w:r>
      <w:r>
        <w:rPr>
          <w:b w:val="0"/>
          <w:bCs w:val="0"/>
          <w:color w:val="auto"/>
          <w:highlight w:val="white"/>
        </w:rPr>
        <w:t xml:space="preserve"> данного коэффициента рекомендуется учитывать с округлением до 7 знаков после запятой</w:t>
      </w:r>
      <w:r>
        <w:rPr>
          <w:b w:val="0"/>
          <w:bCs w:val="0"/>
          <w:color w:val="auto"/>
          <w:highlight w:val="white"/>
        </w:rPr>
        <w:t xml:space="preserve">.</w:t>
      </w:r>
      <w:r>
        <w:rPr>
          <w:b w:val="0"/>
          <w:bCs w:val="0"/>
          <w:color w:val="auto"/>
          <w:highlight w:val="white"/>
          <w14:ligatures w14:val="none"/>
        </w:rPr>
      </w:r>
      <w:r>
        <w:rPr>
          <w:b w:val="0"/>
          <w:bCs w:val="0"/>
          <w:color w:val="auto"/>
          <w:highlight w:val="white"/>
          <w14:ligatures w14:val="none"/>
        </w:rPr>
      </w:r>
    </w:p>
    <w:p>
      <w:pPr>
        <w:pStyle w:val="758"/>
        <w:numPr>
          <w:ilvl w:val="0"/>
          <w:numId w:val="0"/>
        </w:numPr>
        <w:ind w:firstLine="709"/>
        <w:jc w:val="both"/>
        <w:spacing w:before="0" w:after="0"/>
        <w:rPr>
          <w:b w:val="0"/>
          <w:i/>
          <w:iCs/>
          <w:color w:val="auto"/>
          <w:highlight w:val="white"/>
        </w:rPr>
      </w:pPr>
      <w:r>
        <w:rPr>
          <w:b w:val="0"/>
          <w:color w:val="auto"/>
          <w:highlight w:val="white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  <w:i/>
          <w:iCs/>
          <w:color w:val="auto"/>
          <w:highlight w:val="white"/>
        </w:rPr>
      </w:r>
      <w:r>
        <w:rPr>
          <w:b w:val="0"/>
          <w:i/>
          <w:iCs/>
          <w:color w:val="auto"/>
          <w:highlight w:val="white"/>
        </w:rPr>
      </w:r>
    </w:p>
    <w:p>
      <w:pPr>
        <w:rPr>
          <w:rFonts w:eastAsia="Calibri"/>
          <w:b/>
          <w:iCs/>
          <w:color w:val="auto"/>
          <w:highlight w:val="white"/>
        </w:rPr>
      </w:pP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</w:p>
    <w:p>
      <w:pPr>
        <w:pStyle w:val="755"/>
        <w:ind w:left="0" w:firstLine="0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8" w:name="_Toc54646412"/>
      <w:r>
        <w:rPr>
          <w:color w:val="auto"/>
          <w:highlight w:val="white"/>
        </w:rPr>
        <w:t xml:space="preserve">Требования к документации по ценообразованию на этапе заключения (исполнения) договора</w:t>
      </w:r>
      <w:bookmarkEnd w:id="38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Требования к составлению сметной документации (при заключении договора):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2 к настоящим ТТ, и включается в состав договора с применением</w:t>
      </w:r>
      <w:r>
        <w:rPr>
          <w:bCs/>
          <w:color w:val="auto"/>
          <w:sz w:val="24"/>
          <w:szCs w:val="24"/>
          <w:highlight w:val="white"/>
        </w:rPr>
        <w:t xml:space="preserve">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Внесение изменений в сметную документацию заказчика, кроме применения п</w:t>
      </w:r>
      <w:r>
        <w:rPr>
          <w:bCs/>
          <w:color w:val="auto"/>
          <w:sz w:val="24"/>
          <w:szCs w:val="24"/>
          <w:highlight w:val="white"/>
        </w:rPr>
        <w:t xml:space="preserve">онижающего коэффициента не допускается.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сметной документации предусмотрен резерв средств на непредвиденные работы и затраты в разм</w:t>
      </w:r>
      <w:r>
        <w:rPr>
          <w:bCs/>
          <w:color w:val="000000" w:themeColor="text1"/>
          <w:sz w:val="24"/>
          <w:szCs w:val="24"/>
          <w:highlight w:val="white"/>
        </w:rPr>
        <w:t xml:space="preserve">ере 3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%.</w:t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Требования к составлению сметной документации (на этапе исполнения договора):</w:t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rPr>
          <w:color w:val="000000" w:themeColor="text1"/>
          <w:sz w:val="24"/>
          <w:szCs w:val="24"/>
          <w:highlight w:val="none"/>
          <w14:ligatures w14:val="non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</w:t>
      </w:r>
      <w:r>
        <w:rPr>
          <w:bCs/>
          <w:color w:val="000000" w:themeColor="text1"/>
          <w:sz w:val="24"/>
          <w:szCs w:val="24"/>
          <w:highlight w:val="white"/>
        </w:rPr>
        <w:t xml:space="preserve"> оформлять </w:t>
      </w:r>
      <w:bookmarkStart w:id="39" w:name="undefined"/>
      <w:r>
        <w:rPr>
          <w:bCs/>
          <w:color w:val="000000" w:themeColor="text1"/>
          <w:sz w:val="24"/>
          <w:szCs w:val="24"/>
          <w:highlight w:val="white"/>
        </w:rPr>
        <w:t xml:space="preserve">сметную документацию в обоснование данных затрат в соответствии с требованиями, указанными в приложении № 2 к настоящим ТТ, с применением понижающего коэффициента, определенного по результатам конкурентной процедуры</w:t>
      </w:r>
      <w:bookmarkEnd w:id="39"/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i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</w:t>
      </w:r>
      <w:r>
        <w:rPr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none"/>
          <w14:ligatures w14:val="none"/>
        </w:rPr>
      </w:r>
      <w:r>
        <w:rPr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4"/>
          <w:szCs w:val="24"/>
          <w:highlight w:val="none"/>
          <w14:ligatures w14:val="none"/>
        </w:rPr>
        <w:t xml:space="preserve">В сметной документации предусмотрен лимит средств на командировочные расходы в размере 3,74 %. Лими</w:t>
      </w:r>
      <w:r>
        <w:rPr>
          <w:color w:val="000000" w:themeColor="text1"/>
          <w:sz w:val="24"/>
          <w:szCs w:val="24"/>
          <w:highlight w:val="none"/>
          <w14:ligatures w14:val="none"/>
        </w:rPr>
        <w:t xml:space="preserve">ты командировочных расходов принимать в размере не более: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4"/>
          <w:szCs w:val="24"/>
          <w:highlight w:val="none"/>
          <w14:ligatures w14:val="none"/>
        </w:rPr>
        <w:t xml:space="preserve">суточные – 700 руб./сутки;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</w:pPr>
      <w:r>
        <w:rPr>
          <w:color w:val="auto"/>
          <w:sz w:val="24"/>
          <w:szCs w:val="24"/>
          <w:highlight w:val="none"/>
          <w14:ligatures w14:val="none"/>
        </w:rPr>
        <w:t xml:space="preserve">проживание – 550 руб./сутки;</w:t>
      </w:r>
      <w:r>
        <w:rPr>
          <w:color w:val="auto"/>
          <w:sz w:val="24"/>
          <w:szCs w:val="24"/>
          <w:highlight w:val="none"/>
          <w14:ligatures w14:val="none"/>
        </w:rPr>
      </w:r>
      <w:r/>
    </w:p>
    <w:p>
      <w:pPr>
        <w:ind w:firstLine="709"/>
        <w:jc w:val="both"/>
        <w:rPr>
          <w:color w:val="auto"/>
          <w:sz w:val="24"/>
          <w:szCs w:val="24"/>
          <w:highlight w:val="white"/>
          <w14:ligatures w14:val="none"/>
        </w:rPr>
      </w:pPr>
      <w:r>
        <w:rPr>
          <w:color w:val="auto"/>
          <w:sz w:val="24"/>
          <w:szCs w:val="24"/>
          <w:highlight w:val="none"/>
          <w14:ligatures w14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color w:val="auto"/>
          <w:sz w:val="24"/>
          <w:szCs w:val="24"/>
          <w:highlight w:val="white"/>
          <w14:ligatures w14:val="none"/>
        </w:rPr>
      </w:r>
      <w:r>
        <w:rPr>
          <w:color w:val="auto"/>
          <w:sz w:val="24"/>
          <w:szCs w:val="24"/>
          <w:highlight w:val="white"/>
          <w14:ligatures w14:val="none"/>
        </w:rPr>
      </w:r>
    </w:p>
    <w:p>
      <w:pPr>
        <w:rPr>
          <w:rFonts w:eastAsia="Calibri"/>
          <w:b/>
          <w:iCs/>
          <w:color w:val="auto"/>
          <w:highlight w:val="white"/>
        </w:rPr>
      </w:pP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</w:p>
    <w:p>
      <w:pPr>
        <w:pStyle w:val="755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40" w:name="_Toc54646413"/>
      <w:r>
        <w:rPr>
          <w:color w:val="auto"/>
          <w:highlight w:val="white"/>
        </w:rPr>
        <w:t xml:space="preserve">Приложения</w:t>
      </w:r>
      <w:bookmarkEnd w:id="36"/>
      <w:r>
        <w:rPr>
          <w:color w:val="auto"/>
          <w:highlight w:val="white"/>
        </w:rPr>
      </w:r>
      <w:bookmarkEnd w:id="37"/>
      <w:r>
        <w:rPr>
          <w:color w:val="auto"/>
          <w:highlight w:val="white"/>
        </w:rPr>
      </w:r>
      <w:bookmarkEnd w:id="40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left="0" w:right="0"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1 Стандарт организации "Формирование сметной документации";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2 Требования к оформлению и составлению документации по ценообразованию;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3 Положение о допуске персонала подрядных организаций к выполнению работ на объектах АО ДГК;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4 Сводный сметный расчет с приложениями;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white"/>
        </w:rPr>
        <w:t xml:space="preserve">Приложение № 5 Ведомость объемов работ;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none"/>
        </w:rPr>
        <w:t xml:space="preserve">Приложение № 6 Ведомость материалов и оборудования подрядчика.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1"/>
      <w:rPr>
        <w:rStyle w:val="933"/>
      </w:rPr>
      <w:framePr w:wrap="around" w:vAnchor="text" w:hAnchor="margin" w:xAlign="center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separate"/>
    </w:r>
    <w:r>
      <w:rPr>
        <w:rStyle w:val="933"/>
      </w:rPr>
      <w:t xml:space="preserve">6</w: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92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styleLink w:val="990"/>
    <w:lvl w:ilvl="0">
      <w:start w:val="3"/>
      <w:numFmt w:val="decimal"/>
      <w:pStyle w:val="99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6">
    <w:multiLevelType w:val="hybridMultilevel"/>
    <w:lvl w:ilvl="0">
      <w:start w:val="1"/>
      <w:numFmt w:val="decimal"/>
      <w:pStyle w:val="91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1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94"/>
    <w:lvl w:ilvl="0">
      <w:start w:val="1"/>
      <w:numFmt w:val="decimal"/>
      <w:pStyle w:val="99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755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58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57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pStyle w:val="101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0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0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0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0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0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4"/>
      <w:numFmt w:val="bullet"/>
      <w:pStyle w:val="98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8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8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8"/>
  </w:num>
  <w:num w:numId="5">
    <w:abstractNumId w:val="7"/>
  </w:num>
  <w:num w:numId="6">
    <w:abstractNumId w:val="15"/>
  </w:num>
  <w:num w:numId="7">
    <w:abstractNumId w:val="13"/>
  </w:num>
  <w:num w:numId="8">
    <w:abstractNumId w:val="4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1"/>
  </w:num>
  <w:num w:numId="14">
    <w:abstractNumId w:val="8"/>
  </w:num>
  <w:num w:numId="15">
    <w:abstractNumId w:val="8"/>
  </w:num>
  <w:num w:numId="16">
    <w:abstractNumId w:val="8"/>
  </w:num>
  <w:num w:numId="17">
    <w:abstractNumId w:val="5"/>
  </w:num>
  <w:num w:numId="18">
    <w:abstractNumId w:val="1"/>
  </w:num>
  <w:num w:numId="19">
    <w:abstractNumId w:val="14"/>
  </w:num>
  <w:num w:numId="20">
    <w:abstractNumId w:val="9"/>
  </w:num>
  <w:num w:numId="21">
    <w:abstractNumId w:val="0"/>
  </w:num>
  <w:num w:numId="22">
    <w:abstractNumId w:val="3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1">
    <w:name w:val="Title Char"/>
    <w:basedOn w:val="764"/>
    <w:link w:val="776"/>
    <w:uiPriority w:val="10"/>
    <w:rPr>
      <w:sz w:val="48"/>
      <w:szCs w:val="48"/>
    </w:rPr>
  </w:style>
  <w:style w:type="character" w:styleId="752">
    <w:name w:val="Footer Char"/>
    <w:basedOn w:val="764"/>
    <w:link w:val="924"/>
    <w:uiPriority w:val="99"/>
  </w:style>
  <w:style w:type="character" w:styleId="753">
    <w:name w:val="Caption Char"/>
    <w:basedOn w:val="961"/>
    <w:link w:val="924"/>
    <w:uiPriority w:val="99"/>
  </w:style>
  <w:style w:type="paragraph" w:styleId="754" w:default="1">
    <w:name w:val="Normal"/>
    <w:qFormat/>
    <w:rPr>
      <w:sz w:val="28"/>
      <w:szCs w:val="28"/>
    </w:rPr>
  </w:style>
  <w:style w:type="paragraph" w:styleId="755">
    <w:name w:val="Heading 1"/>
    <w:basedOn w:val="757"/>
    <w:next w:val="754"/>
    <w:link w:val="953"/>
    <w:qFormat/>
    <w:pPr>
      <w:numPr>
        <w:ilvl w:val="0"/>
      </w:numPr>
      <w:outlineLvl w:val="0"/>
    </w:pPr>
    <w:rPr>
      <w:sz w:val="28"/>
      <w:szCs w:val="28"/>
    </w:rPr>
  </w:style>
  <w:style w:type="paragraph" w:styleId="756">
    <w:name w:val="Heading 2"/>
    <w:basedOn w:val="758"/>
    <w:next w:val="754"/>
    <w:link w:val="955"/>
    <w:qFormat/>
    <w:pPr>
      <w:outlineLvl w:val="1"/>
    </w:pPr>
  </w:style>
  <w:style w:type="paragraph" w:styleId="757">
    <w:name w:val="Heading 3"/>
    <w:basedOn w:val="754"/>
    <w:next w:val="754"/>
    <w:link w:val="956"/>
    <w:qFormat/>
    <w:pPr>
      <w:numPr>
        <w:ilvl w:val="2"/>
        <w:numId w:val="4"/>
      </w:numPr>
      <w:ind w:left="1276" w:hanging="556"/>
      <w:keepNext/>
      <w:spacing w:before="240" w:after="60"/>
      <w:outlineLvl w:val="2"/>
    </w:pPr>
    <w:rPr>
      <w:rFonts w:eastAsia="Calibri"/>
      <w:b/>
      <w:sz w:val="24"/>
      <w:szCs w:val="24"/>
    </w:rPr>
  </w:style>
  <w:style w:type="paragraph" w:styleId="758">
    <w:name w:val="Heading 4"/>
    <w:basedOn w:val="757"/>
    <w:next w:val="754"/>
    <w:link w:val="957"/>
    <w:qFormat/>
    <w:pPr>
      <w:numPr>
        <w:ilvl w:val="1"/>
      </w:numPr>
      <w:outlineLvl w:val="3"/>
    </w:pPr>
    <w:rPr>
      <w:bCs/>
    </w:rPr>
  </w:style>
  <w:style w:type="paragraph" w:styleId="759">
    <w:name w:val="Heading 5"/>
    <w:basedOn w:val="754"/>
    <w:next w:val="754"/>
    <w:link w:val="95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60">
    <w:name w:val="Heading 6"/>
    <w:basedOn w:val="754"/>
    <w:next w:val="754"/>
    <w:link w:val="95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61">
    <w:name w:val="Heading 7"/>
    <w:basedOn w:val="754"/>
    <w:next w:val="754"/>
    <w:link w:val="95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62">
    <w:name w:val="Heading 8"/>
    <w:basedOn w:val="754"/>
    <w:next w:val="754"/>
    <w:link w:val="95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63">
    <w:name w:val="Heading 9"/>
    <w:basedOn w:val="754"/>
    <w:next w:val="754"/>
    <w:link w:val="95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64" w:default="1">
    <w:name w:val="Default Paragraph Font"/>
    <w:uiPriority w:val="1"/>
    <w:semiHidden/>
    <w:unhideWhenUsed/>
  </w:style>
  <w:style w:type="table" w:styleId="7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6" w:default="1">
    <w:name w:val="No List"/>
    <w:uiPriority w:val="99"/>
    <w:semiHidden/>
    <w:unhideWhenUsed/>
  </w:style>
  <w:style w:type="character" w:styleId="767" w:customStyle="1">
    <w:name w:val="Heading 1 Char"/>
    <w:basedOn w:val="764"/>
    <w:uiPriority w:val="9"/>
    <w:rPr>
      <w:rFonts w:ascii="Arial" w:hAnsi="Arial" w:eastAsia="Arial" w:cs="Arial"/>
      <w:sz w:val="40"/>
      <w:szCs w:val="40"/>
    </w:rPr>
  </w:style>
  <w:style w:type="character" w:styleId="768" w:customStyle="1">
    <w:name w:val="Heading 2 Char"/>
    <w:basedOn w:val="764"/>
    <w:uiPriority w:val="9"/>
    <w:rPr>
      <w:rFonts w:ascii="Arial" w:hAnsi="Arial" w:eastAsia="Arial" w:cs="Arial"/>
      <w:sz w:val="34"/>
    </w:rPr>
  </w:style>
  <w:style w:type="character" w:styleId="769" w:customStyle="1">
    <w:name w:val="Heading 3 Char"/>
    <w:basedOn w:val="764"/>
    <w:uiPriority w:val="9"/>
    <w:rPr>
      <w:rFonts w:ascii="Arial" w:hAnsi="Arial" w:eastAsia="Arial" w:cs="Arial"/>
      <w:sz w:val="30"/>
      <w:szCs w:val="30"/>
    </w:rPr>
  </w:style>
  <w:style w:type="character" w:styleId="770" w:customStyle="1">
    <w:name w:val="Heading 4 Char"/>
    <w:basedOn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71" w:customStyle="1">
    <w:name w:val="Heading 5 Char"/>
    <w:basedOn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72" w:customStyle="1">
    <w:name w:val="Heading 6 Char"/>
    <w:basedOn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73" w:customStyle="1">
    <w:name w:val="Heading 7 Char"/>
    <w:basedOn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 w:customStyle="1">
    <w:name w:val="Heading 8 Char"/>
    <w:basedOn w:val="764"/>
    <w:uiPriority w:val="9"/>
    <w:rPr>
      <w:rFonts w:ascii="Arial" w:hAnsi="Arial" w:eastAsia="Arial" w:cs="Arial"/>
      <w:i/>
      <w:iCs/>
      <w:sz w:val="22"/>
      <w:szCs w:val="22"/>
    </w:rPr>
  </w:style>
  <w:style w:type="character" w:styleId="775" w:customStyle="1">
    <w:name w:val="Heading 9 Char"/>
    <w:basedOn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76">
    <w:name w:val="Title"/>
    <w:basedOn w:val="754"/>
    <w:next w:val="754"/>
    <w:link w:val="7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7" w:customStyle="1">
    <w:name w:val="Заголовок Знак"/>
    <w:basedOn w:val="764"/>
    <w:link w:val="776"/>
    <w:uiPriority w:val="10"/>
    <w:rPr>
      <w:sz w:val="48"/>
      <w:szCs w:val="48"/>
    </w:rPr>
  </w:style>
  <w:style w:type="character" w:styleId="778" w:customStyle="1">
    <w:name w:val="Subtitle Char"/>
    <w:basedOn w:val="764"/>
    <w:uiPriority w:val="11"/>
    <w:rPr>
      <w:sz w:val="24"/>
      <w:szCs w:val="24"/>
    </w:rPr>
  </w:style>
  <w:style w:type="character" w:styleId="779" w:customStyle="1">
    <w:name w:val="Quote Char"/>
    <w:uiPriority w:val="29"/>
    <w:rPr>
      <w:i/>
    </w:rPr>
  </w:style>
  <w:style w:type="character" w:styleId="780" w:customStyle="1">
    <w:name w:val="Intense Quote Char"/>
    <w:uiPriority w:val="30"/>
    <w:rPr>
      <w:i/>
    </w:rPr>
  </w:style>
  <w:style w:type="character" w:styleId="781" w:customStyle="1">
    <w:name w:val="Header Char"/>
    <w:basedOn w:val="764"/>
    <w:uiPriority w:val="99"/>
  </w:style>
  <w:style w:type="character" w:styleId="782" w:customStyle="1">
    <w:name w:val="Нижний колонтитул Знак"/>
    <w:basedOn w:val="764"/>
    <w:link w:val="924"/>
    <w:uiPriority w:val="99"/>
  </w:style>
  <w:style w:type="character" w:styleId="783" w:customStyle="1">
    <w:name w:val="Название объекта Знак"/>
    <w:basedOn w:val="764"/>
    <w:link w:val="961"/>
    <w:uiPriority w:val="35"/>
    <w:rPr>
      <w:b/>
      <w:bCs/>
      <w:color w:val="4472c4" w:themeColor="accent1"/>
      <w:sz w:val="18"/>
      <w:szCs w:val="18"/>
    </w:rPr>
  </w:style>
  <w:style w:type="table" w:styleId="784" w:customStyle="1">
    <w:name w:val="Table Grid Light"/>
    <w:basedOn w:val="7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5">
    <w:name w:val="Plain Table 1"/>
    <w:basedOn w:val="7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basedOn w:val="76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basedOn w:val="76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basedOn w:val="76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basedOn w:val="7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basedOn w:val="7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basedOn w:val="7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basedOn w:val="76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basedOn w:val="7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basedOn w:val="7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basedOn w:val="76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basedOn w:val="76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basedOn w:val="7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basedOn w:val="7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basedOn w:val="76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basedOn w:val="76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basedOn w:val="7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basedOn w:val="76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basedOn w:val="76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13" w:customStyle="1">
    <w:name w:val="Grid Table 4 - Accent 2"/>
    <w:basedOn w:val="76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14" w:customStyle="1">
    <w:name w:val="Grid Table 4 - Accent 3"/>
    <w:basedOn w:val="76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15" w:customStyle="1">
    <w:name w:val="Grid Table 4 - Accent 4"/>
    <w:basedOn w:val="76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6" w:customStyle="1">
    <w:name w:val="Grid Table 4 - Accent 5"/>
    <w:basedOn w:val="76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17" w:customStyle="1">
    <w:name w:val="Grid Table 4 - Accent 6"/>
    <w:basedOn w:val="76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8">
    <w:name w:val="Grid Table 5 Dark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basedOn w:val="76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basedOn w:val="76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27" w:customStyle="1">
    <w:name w:val="Grid Table 6 Colorful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8" w:customStyle="1">
    <w:name w:val="Grid Table 6 Colorful - Accent 3"/>
    <w:basedOn w:val="76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9" w:customStyle="1">
    <w:name w:val="Grid Table 6 Colorful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30" w:customStyle="1">
    <w:name w:val="Grid Table 6 Colorful - Accent 5"/>
    <w:basedOn w:val="76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31" w:customStyle="1">
    <w:name w:val="Grid Table 6 Colorful - Accent 6"/>
    <w:basedOn w:val="76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32">
    <w:name w:val="Grid Table 7 Colorful"/>
    <w:basedOn w:val="76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basedOn w:val="76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basedOn w:val="76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basedOn w:val="76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basedOn w:val="76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basedOn w:val="765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basedOn w:val="76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basedOn w:val="76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basedOn w:val="76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basedOn w:val="765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basedOn w:val="76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basedOn w:val="76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basedOn w:val="76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basedOn w:val="76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basedOn w:val="76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basedOn w:val="76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basedOn w:val="76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basedOn w:val="76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basedOn w:val="7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basedOn w:val="76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basedOn w:val="76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basedOn w:val="7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basedOn w:val="76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basedOn w:val="76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basedOn w:val="76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basedOn w:val="76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basedOn w:val="76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basedOn w:val="76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basedOn w:val="76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basedOn w:val="76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basedOn w:val="76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basedOn w:val="76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basedOn w:val="76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76" w:customStyle="1">
    <w:name w:val="List Table 6 Colorful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7" w:customStyle="1">
    <w:name w:val="List Table 6 Colorful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8" w:customStyle="1">
    <w:name w:val="List Table 6 Colorful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9" w:customStyle="1">
    <w:name w:val="List Table 6 Colorful - Accent 5"/>
    <w:basedOn w:val="76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80" w:customStyle="1">
    <w:name w:val="List Table 6 Colorful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81">
    <w:name w:val="List Table 7 Colorful"/>
    <w:basedOn w:val="76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basedOn w:val="76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basedOn w:val="76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basedOn w:val="76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basedOn w:val="76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basedOn w:val="76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basedOn w:val="76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0" w:customStyle="1">
    <w:name w:val="Lined - Accent 2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1" w:customStyle="1">
    <w:name w:val="Lined - Accent 3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2" w:customStyle="1">
    <w:name w:val="Lined - Accent 4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3" w:customStyle="1">
    <w:name w:val="Lined - Accent 5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94" w:customStyle="1">
    <w:name w:val="Lined - Accent 6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5" w:customStyle="1">
    <w:name w:val="Bordered &amp; Lined - Accent"/>
    <w:basedOn w:val="76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basedOn w:val="765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7" w:customStyle="1">
    <w:name w:val="Bordered &amp; Lined - Accent 2"/>
    <w:basedOn w:val="76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8" w:customStyle="1">
    <w:name w:val="Bordered &amp; Lined - Accent 3"/>
    <w:basedOn w:val="76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9" w:customStyle="1">
    <w:name w:val="Bordered &amp; Lined - Accent 4"/>
    <w:basedOn w:val="76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0" w:customStyle="1">
    <w:name w:val="Bordered &amp; Lined - Accent 5"/>
    <w:basedOn w:val="765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01" w:customStyle="1">
    <w:name w:val="Bordered &amp; Lined - Accent 6"/>
    <w:basedOn w:val="76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2" w:customStyle="1">
    <w:name w:val="Bordered"/>
    <w:basedOn w:val="76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basedOn w:val="76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04" w:customStyle="1">
    <w:name w:val="Bordered - Accent 2"/>
    <w:basedOn w:val="7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05" w:customStyle="1">
    <w:name w:val="Bordered - Accent 3"/>
    <w:basedOn w:val="7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6" w:customStyle="1">
    <w:name w:val="Bordered - Accent 4"/>
    <w:basedOn w:val="7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7" w:customStyle="1">
    <w:name w:val="Bordered - Accent 5"/>
    <w:basedOn w:val="76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08" w:customStyle="1">
    <w:name w:val="Bordered - Accent 6"/>
    <w:basedOn w:val="7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9" w:customStyle="1">
    <w:name w:val="Footnote Text Char"/>
    <w:uiPriority w:val="99"/>
    <w:rPr>
      <w:sz w:val="18"/>
    </w:rPr>
  </w:style>
  <w:style w:type="character" w:styleId="910" w:customStyle="1">
    <w:name w:val="Endnote Text Char"/>
    <w:uiPriority w:val="99"/>
    <w:rPr>
      <w:sz w:val="20"/>
    </w:rPr>
  </w:style>
  <w:style w:type="paragraph" w:styleId="911">
    <w:name w:val="table of figures"/>
    <w:basedOn w:val="754"/>
    <w:next w:val="754"/>
    <w:uiPriority w:val="99"/>
    <w:unhideWhenUsed/>
  </w:style>
  <w:style w:type="paragraph" w:styleId="912" w:customStyle="1">
    <w:name w:val="Название раздела инструкции"/>
    <w:basedOn w:val="754"/>
    <w:pPr>
      <w:jc w:val="center"/>
    </w:pPr>
    <w:rPr>
      <w:b/>
    </w:rPr>
  </w:style>
  <w:style w:type="paragraph" w:styleId="913" w:customStyle="1">
    <w:name w:val="Раздел положения"/>
    <w:basedOn w:val="754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14" w:customStyle="1">
    <w:name w:val="Подраздел раздела положения"/>
    <w:basedOn w:val="754"/>
    <w:pPr>
      <w:numPr>
        <w:ilvl w:val="1"/>
        <w:numId w:val="1"/>
      </w:numPr>
      <w:jc w:val="both"/>
      <w:spacing w:before="80" w:after="80"/>
    </w:pPr>
  </w:style>
  <w:style w:type="paragraph" w:styleId="915">
    <w:name w:val="footnote text"/>
    <w:basedOn w:val="754"/>
    <w:link w:val="989"/>
    <w:uiPriority w:val="99"/>
    <w:rPr>
      <w:sz w:val="20"/>
      <w:szCs w:val="20"/>
    </w:rPr>
  </w:style>
  <w:style w:type="character" w:styleId="916">
    <w:name w:val="footnote reference"/>
    <w:rPr>
      <w:vertAlign w:val="superscript"/>
    </w:rPr>
  </w:style>
  <w:style w:type="paragraph" w:styleId="917" w:customStyle="1">
    <w:name w:val="Шапка 1"/>
    <w:basedOn w:val="754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8" w:customStyle="1">
    <w:name w:val="Шапка 2"/>
    <w:basedOn w:val="754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9" w:customStyle="1">
    <w:name w:val="Шапка 3"/>
    <w:basedOn w:val="754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20" w:customStyle="1">
    <w:name w:val="Название1"/>
    <w:basedOn w:val="754"/>
    <w:link w:val="962"/>
    <w:uiPriority w:val="10"/>
    <w:qFormat/>
    <w:pPr>
      <w:jc w:val="center"/>
    </w:pPr>
    <w:rPr>
      <w:szCs w:val="20"/>
    </w:rPr>
  </w:style>
  <w:style w:type="paragraph" w:styleId="921">
    <w:name w:val="Header"/>
    <w:basedOn w:val="754"/>
    <w:link w:val="100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22">
    <w:name w:val="Body Text Indent"/>
    <w:basedOn w:val="754"/>
    <w:pPr>
      <w:ind w:left="360"/>
    </w:pPr>
    <w:rPr>
      <w:sz w:val="24"/>
      <w:szCs w:val="24"/>
    </w:rPr>
  </w:style>
  <w:style w:type="table" w:styleId="923">
    <w:name w:val="Table Grid"/>
    <w:basedOn w:val="76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4">
    <w:name w:val="Footer"/>
    <w:basedOn w:val="754"/>
    <w:link w:val="782"/>
    <w:pPr>
      <w:tabs>
        <w:tab w:val="center" w:pos="4677" w:leader="none"/>
        <w:tab w:val="right" w:pos="9355" w:leader="none"/>
      </w:tabs>
    </w:pPr>
  </w:style>
  <w:style w:type="paragraph" w:styleId="925">
    <w:name w:val="Body Text"/>
    <w:basedOn w:val="754"/>
    <w:link w:val="992"/>
    <w:pPr>
      <w:spacing w:after="120"/>
    </w:pPr>
  </w:style>
  <w:style w:type="paragraph" w:styleId="926">
    <w:name w:val="Body Text Indent 2"/>
    <w:basedOn w:val="754"/>
    <w:pPr>
      <w:ind w:left="283"/>
      <w:spacing w:after="120" w:line="480" w:lineRule="auto"/>
    </w:pPr>
  </w:style>
  <w:style w:type="paragraph" w:styleId="927">
    <w:name w:val="Body Text 3"/>
    <w:basedOn w:val="754"/>
    <w:pPr>
      <w:spacing w:after="120"/>
    </w:pPr>
    <w:rPr>
      <w:sz w:val="16"/>
      <w:szCs w:val="16"/>
    </w:rPr>
  </w:style>
  <w:style w:type="paragraph" w:styleId="928">
    <w:name w:val="Body Text Indent 3"/>
    <w:basedOn w:val="754"/>
    <w:link w:val="1023"/>
    <w:pPr>
      <w:ind w:left="283"/>
      <w:spacing w:after="120"/>
    </w:pPr>
    <w:rPr>
      <w:sz w:val="16"/>
      <w:szCs w:val="16"/>
    </w:rPr>
  </w:style>
  <w:style w:type="paragraph" w:styleId="929">
    <w:name w:val="Body Text 2"/>
    <w:basedOn w:val="754"/>
    <w:pPr>
      <w:spacing w:after="120" w:line="480" w:lineRule="auto"/>
    </w:pPr>
  </w:style>
  <w:style w:type="paragraph" w:styleId="930">
    <w:name w:val="Block Text"/>
    <w:basedOn w:val="754"/>
    <w:pPr>
      <w:ind w:left="-567" w:right="-766"/>
      <w:jc w:val="center"/>
    </w:pPr>
    <w:rPr>
      <w:b/>
      <w:bCs/>
      <w:sz w:val="24"/>
      <w:szCs w:val="20"/>
    </w:rPr>
  </w:style>
  <w:style w:type="paragraph" w:styleId="931" w:customStyle="1">
    <w:name w:val="Подпункт"/>
    <w:basedOn w:val="754"/>
    <w:link w:val="98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32" w:customStyle="1">
    <w:name w:val="Пункт2"/>
    <w:basedOn w:val="754"/>
    <w:link w:val="101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33">
    <w:name w:val="page number"/>
    <w:basedOn w:val="764"/>
  </w:style>
  <w:style w:type="paragraph" w:styleId="934">
    <w:name w:val="toc 1"/>
    <w:basedOn w:val="754"/>
    <w:next w:val="754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35">
    <w:name w:val="toc 3"/>
    <w:basedOn w:val="754"/>
    <w:next w:val="754"/>
    <w:uiPriority w:val="39"/>
    <w:pPr>
      <w:ind w:left="280"/>
    </w:pPr>
    <w:rPr>
      <w:rFonts w:cstheme="minorHAnsi"/>
      <w:sz w:val="20"/>
      <w:szCs w:val="20"/>
    </w:rPr>
  </w:style>
  <w:style w:type="character" w:styleId="936">
    <w:name w:val="Hyperlink"/>
    <w:uiPriority w:val="99"/>
    <w:rPr>
      <w:color w:val="0000ff"/>
      <w:u w:val="single"/>
    </w:rPr>
  </w:style>
  <w:style w:type="paragraph" w:styleId="937" w:customStyle="1">
    <w:name w:val="Раздел регламента"/>
    <w:basedOn w:val="754"/>
  </w:style>
  <w:style w:type="paragraph" w:styleId="938" w:customStyle="1">
    <w:name w:val="Приложение к регламенту"/>
    <w:basedOn w:val="754"/>
    <w:pPr>
      <w:jc w:val="right"/>
    </w:pPr>
  </w:style>
  <w:style w:type="paragraph" w:styleId="939">
    <w:name w:val="toc 2"/>
    <w:basedOn w:val="754"/>
    <w:next w:val="754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40">
    <w:name w:val="Balloon Text"/>
    <w:basedOn w:val="754"/>
    <w:semiHidden/>
    <w:rPr>
      <w:rFonts w:ascii="Tahoma" w:hAnsi="Tahoma" w:cs="Tahoma"/>
      <w:sz w:val="16"/>
      <w:szCs w:val="16"/>
    </w:rPr>
  </w:style>
  <w:style w:type="character" w:styleId="941">
    <w:name w:val="annotation reference"/>
    <w:uiPriority w:val="99"/>
    <w:semiHidden/>
    <w:rPr>
      <w:sz w:val="16"/>
      <w:szCs w:val="16"/>
    </w:rPr>
  </w:style>
  <w:style w:type="paragraph" w:styleId="942">
    <w:name w:val="annotation text"/>
    <w:basedOn w:val="754"/>
    <w:link w:val="1007"/>
    <w:rPr>
      <w:sz w:val="20"/>
      <w:szCs w:val="20"/>
    </w:rPr>
  </w:style>
  <w:style w:type="paragraph" w:styleId="943">
    <w:name w:val="annotation subject"/>
    <w:basedOn w:val="942"/>
    <w:next w:val="942"/>
    <w:semiHidden/>
    <w:rPr>
      <w:b/>
      <w:bCs/>
    </w:rPr>
  </w:style>
  <w:style w:type="paragraph" w:styleId="944" w:customStyle="1">
    <w:name w:val="Обычный (веб)1"/>
    <w:basedOn w:val="754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45">
    <w:name w:val="toc 9"/>
    <w:basedOn w:val="754"/>
    <w:next w:val="754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6">
    <w:name w:val="toc 5"/>
    <w:basedOn w:val="754"/>
    <w:next w:val="754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7">
    <w:name w:val="toc 4"/>
    <w:basedOn w:val="754"/>
    <w:next w:val="754"/>
    <w:uiPriority w:val="39"/>
    <w:pPr>
      <w:ind w:left="560"/>
    </w:pPr>
    <w:rPr>
      <w:rFonts w:cstheme="minorHAnsi"/>
      <w:sz w:val="20"/>
      <w:szCs w:val="20"/>
    </w:rPr>
  </w:style>
  <w:style w:type="paragraph" w:styleId="948" w:customStyle="1">
    <w:name w:val="Раздел положения 2"/>
    <w:basedOn w:val="754"/>
    <w:pPr>
      <w:jc w:val="both"/>
      <w:pageBreakBefore/>
      <w:outlineLvl w:val="0"/>
    </w:pPr>
    <w:rPr>
      <w:b/>
    </w:rPr>
  </w:style>
  <w:style w:type="character" w:styleId="949">
    <w:name w:val="Strong"/>
    <w:qFormat/>
    <w:rPr>
      <w:b/>
      <w:bCs/>
    </w:rPr>
  </w:style>
  <w:style w:type="character" w:styleId="950" w:customStyle="1">
    <w:name w:val="Заголовок 6 Знак"/>
    <w:link w:val="760"/>
    <w:uiPriority w:val="9"/>
    <w:rPr>
      <w:rFonts w:ascii="Cambria" w:hAnsi="Cambria"/>
      <w:i/>
      <w:iCs/>
      <w:color w:val="243f60"/>
    </w:rPr>
  </w:style>
  <w:style w:type="character" w:styleId="951" w:customStyle="1">
    <w:name w:val="Заголовок 7 Знак"/>
    <w:link w:val="761"/>
    <w:uiPriority w:val="9"/>
    <w:rPr>
      <w:rFonts w:ascii="Cambria" w:hAnsi="Cambria"/>
      <w:i/>
      <w:iCs/>
      <w:color w:val="404040"/>
    </w:rPr>
  </w:style>
  <w:style w:type="character" w:styleId="952" w:customStyle="1">
    <w:name w:val="Заголовок 8 Знак"/>
    <w:link w:val="762"/>
    <w:uiPriority w:val="9"/>
    <w:rPr>
      <w:rFonts w:ascii="Cambria" w:hAnsi="Cambria"/>
      <w:color w:val="4f81bd"/>
    </w:rPr>
  </w:style>
  <w:style w:type="character" w:styleId="953" w:customStyle="1">
    <w:name w:val="Заголовок 1 Знак"/>
    <w:link w:val="755"/>
    <w:rPr>
      <w:rFonts w:eastAsia="Calibri"/>
      <w:b/>
      <w:sz w:val="28"/>
      <w:szCs w:val="28"/>
    </w:rPr>
  </w:style>
  <w:style w:type="paragraph" w:styleId="954" w:customStyle="1">
    <w:name w:val="Знак Знак Знак Знак Знак Знак Знак Знак Знак"/>
    <w:basedOn w:val="75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55" w:customStyle="1">
    <w:name w:val="Заголовок 2 Знак"/>
    <w:link w:val="756"/>
    <w:rPr>
      <w:rFonts w:eastAsia="Calibri"/>
      <w:b/>
      <w:bCs/>
      <w:sz w:val="24"/>
      <w:szCs w:val="24"/>
    </w:rPr>
  </w:style>
  <w:style w:type="character" w:styleId="956" w:customStyle="1">
    <w:name w:val="Заголовок 3 Знак"/>
    <w:link w:val="757"/>
    <w:rPr>
      <w:rFonts w:eastAsia="Calibri"/>
      <w:b/>
      <w:sz w:val="24"/>
      <w:szCs w:val="24"/>
    </w:rPr>
  </w:style>
  <w:style w:type="character" w:styleId="957" w:customStyle="1">
    <w:name w:val="Заголовок 4 Знак"/>
    <w:link w:val="758"/>
    <w:rPr>
      <w:rFonts w:eastAsia="Calibri"/>
      <w:b/>
      <w:bCs/>
      <w:sz w:val="24"/>
      <w:szCs w:val="24"/>
    </w:rPr>
  </w:style>
  <w:style w:type="character" w:styleId="958" w:customStyle="1">
    <w:name w:val="Заголовок 5 Знак"/>
    <w:link w:val="759"/>
    <w:uiPriority w:val="9"/>
    <w:rPr>
      <w:b/>
      <w:bCs/>
      <w:i/>
      <w:iCs/>
      <w:sz w:val="26"/>
      <w:szCs w:val="26"/>
    </w:rPr>
  </w:style>
  <w:style w:type="character" w:styleId="959" w:customStyle="1">
    <w:name w:val="Заголовок 9 Знак"/>
    <w:link w:val="763"/>
    <w:uiPriority w:val="9"/>
    <w:rPr>
      <w:rFonts w:ascii="Arial" w:hAnsi="Arial" w:cs="Arial"/>
      <w:sz w:val="22"/>
      <w:szCs w:val="22"/>
    </w:rPr>
  </w:style>
  <w:style w:type="paragraph" w:styleId="960">
    <w:name w:val="No Spacing"/>
    <w:basedOn w:val="75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61">
    <w:name w:val="Caption"/>
    <w:basedOn w:val="754"/>
    <w:next w:val="754"/>
    <w:link w:val="783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62" w:customStyle="1">
    <w:name w:val="Название Знак"/>
    <w:link w:val="920"/>
    <w:uiPriority w:val="10"/>
    <w:rPr>
      <w:sz w:val="28"/>
    </w:rPr>
  </w:style>
  <w:style w:type="paragraph" w:styleId="963">
    <w:name w:val="Subtitle"/>
    <w:basedOn w:val="754"/>
    <w:next w:val="754"/>
    <w:link w:val="96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64" w:customStyle="1">
    <w:name w:val="Подзаголовок Знак"/>
    <w:link w:val="96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65">
    <w:name w:val="Emphasis"/>
    <w:uiPriority w:val="20"/>
    <w:qFormat/>
    <w:rPr>
      <w:i/>
      <w:iCs/>
    </w:rPr>
  </w:style>
  <w:style w:type="paragraph" w:styleId="966">
    <w:name w:val="List Paragraph"/>
    <w:basedOn w:val="754"/>
    <w:link w:val="99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7">
    <w:name w:val="Quote"/>
    <w:basedOn w:val="754"/>
    <w:next w:val="754"/>
    <w:link w:val="96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8" w:customStyle="1">
    <w:name w:val="Цитата 2 Знак"/>
    <w:link w:val="967"/>
    <w:uiPriority w:val="29"/>
    <w:rPr>
      <w:rFonts w:ascii="Calibri" w:hAnsi="Calibri" w:eastAsia="Calibri"/>
      <w:i/>
      <w:iCs/>
      <w:color w:val="000000"/>
    </w:rPr>
  </w:style>
  <w:style w:type="paragraph" w:styleId="969">
    <w:name w:val="Intense Quote"/>
    <w:basedOn w:val="754"/>
    <w:next w:val="754"/>
    <w:link w:val="97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70" w:customStyle="1">
    <w:name w:val="Выделенная цитата Знак"/>
    <w:link w:val="969"/>
    <w:uiPriority w:val="30"/>
    <w:rPr>
      <w:rFonts w:ascii="Calibri" w:hAnsi="Calibri" w:eastAsia="Calibri"/>
      <w:b/>
      <w:bCs/>
      <w:i/>
      <w:iCs/>
      <w:color w:val="4f81bd"/>
    </w:rPr>
  </w:style>
  <w:style w:type="character" w:styleId="971">
    <w:name w:val="Subtle Emphasis"/>
    <w:uiPriority w:val="19"/>
    <w:qFormat/>
    <w:rPr>
      <w:i/>
      <w:iCs/>
      <w:color w:val="808080"/>
    </w:rPr>
  </w:style>
  <w:style w:type="character" w:styleId="972">
    <w:name w:val="Intense Emphasis"/>
    <w:uiPriority w:val="21"/>
    <w:qFormat/>
    <w:rPr>
      <w:b/>
      <w:bCs/>
      <w:i/>
      <w:iCs/>
      <w:color w:val="4f81bd"/>
    </w:rPr>
  </w:style>
  <w:style w:type="character" w:styleId="973">
    <w:name w:val="Subtle Reference"/>
    <w:uiPriority w:val="31"/>
    <w:qFormat/>
    <w:rPr>
      <w:smallCaps/>
      <w:color w:val="c0504d"/>
      <w:u w:val="single"/>
    </w:rPr>
  </w:style>
  <w:style w:type="character" w:styleId="97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75">
    <w:name w:val="Book Title"/>
    <w:uiPriority w:val="33"/>
    <w:qFormat/>
    <w:rPr>
      <w:b/>
      <w:bCs/>
      <w:smallCaps/>
      <w:spacing w:val="5"/>
    </w:rPr>
  </w:style>
  <w:style w:type="paragraph" w:styleId="976">
    <w:name w:val="TOC Heading"/>
    <w:basedOn w:val="755"/>
    <w:next w:val="754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7">
    <w:name w:val="E-mail Signature"/>
    <w:basedOn w:val="754"/>
    <w:link w:val="978"/>
    <w:uiPriority w:val="99"/>
    <w:unhideWhenUsed/>
    <w:rPr>
      <w:rFonts w:eastAsia="Calibri"/>
      <w:sz w:val="24"/>
      <w:szCs w:val="24"/>
    </w:rPr>
  </w:style>
  <w:style w:type="character" w:styleId="978" w:customStyle="1">
    <w:name w:val="Электронная подпись Знак"/>
    <w:link w:val="977"/>
    <w:uiPriority w:val="99"/>
    <w:rPr>
      <w:rFonts w:eastAsia="Calibri"/>
      <w:sz w:val="24"/>
      <w:szCs w:val="24"/>
    </w:rPr>
  </w:style>
  <w:style w:type="paragraph" w:styleId="979" w:customStyle="1">
    <w:name w:val="Знак"/>
    <w:basedOn w:val="7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 w:customStyle="1">
    <w:name w:val="Нумерованный список ур3"/>
    <w:basedOn w:val="754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1" w:customStyle="1">
    <w:name w:val="Нумерованный список 1"/>
    <w:basedOn w:val="754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2" w:customStyle="1">
    <w:name w:val="Нумерованный список ур2"/>
    <w:basedOn w:val="754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3">
    <w:name w:val="Revision"/>
    <w:hidden/>
    <w:uiPriority w:val="99"/>
    <w:semiHidden/>
    <w:rPr>
      <w:rFonts w:eastAsia="Calibri"/>
      <w:sz w:val="24"/>
      <w:szCs w:val="24"/>
    </w:rPr>
  </w:style>
  <w:style w:type="paragraph" w:styleId="98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85" w:customStyle="1">
    <w:name w:val="Знак Знак3 Знак Знак"/>
    <w:basedOn w:val="75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6" w:customStyle="1">
    <w:name w:val="Пункт"/>
    <w:basedOn w:val="754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7" w:customStyle="1">
    <w:name w:val="Подпункт Знак1"/>
    <w:link w:val="931"/>
    <w:rPr>
      <w:sz w:val="28"/>
    </w:rPr>
  </w:style>
  <w:style w:type="paragraph" w:styleId="988" w:customStyle="1">
    <w:name w:val="Абзац списка1"/>
    <w:basedOn w:val="754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9" w:customStyle="1">
    <w:name w:val="Текст сноски Знак"/>
    <w:link w:val="915"/>
    <w:uiPriority w:val="99"/>
  </w:style>
  <w:style w:type="numbering" w:styleId="990" w:customStyle="1">
    <w:name w:val="Стиль1"/>
    <w:uiPriority w:val="99"/>
    <w:pPr>
      <w:numPr>
        <w:ilvl w:val="0"/>
        <w:numId w:val="3"/>
      </w:numPr>
    </w:pPr>
  </w:style>
  <w:style w:type="paragraph" w:styleId="991" w:customStyle="1">
    <w:name w:val="Таблица"/>
    <w:basedOn w:val="75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92" w:customStyle="1">
    <w:name w:val="Основной текст Знак"/>
    <w:link w:val="925"/>
    <w:rPr>
      <w:sz w:val="28"/>
      <w:szCs w:val="28"/>
    </w:rPr>
  </w:style>
  <w:style w:type="character" w:styleId="993" w:customStyle="1">
    <w:name w:val="blk"/>
  </w:style>
  <w:style w:type="numbering" w:styleId="994" w:customStyle="1">
    <w:name w:val="Стиль2"/>
    <w:uiPriority w:val="99"/>
    <w:pPr>
      <w:numPr>
        <w:ilvl w:val="0"/>
        <w:numId w:val="5"/>
      </w:numPr>
    </w:pPr>
  </w:style>
  <w:style w:type="paragraph" w:styleId="995" w:customStyle="1">
    <w:name w:val="Таблица шапка"/>
    <w:basedOn w:val="754"/>
    <w:pPr>
      <w:ind w:left="57" w:right="57"/>
      <w:keepNext/>
      <w:spacing w:before="40" w:after="40"/>
    </w:pPr>
    <w:rPr>
      <w:sz w:val="22"/>
      <w:szCs w:val="26"/>
    </w:rPr>
  </w:style>
  <w:style w:type="character" w:styleId="996" w:customStyle="1">
    <w:name w:val="Абзац списка Знак"/>
    <w:link w:val="966"/>
    <w:uiPriority w:val="34"/>
    <w:rPr>
      <w:rFonts w:eastAsia="Calibri"/>
      <w:sz w:val="24"/>
      <w:szCs w:val="24"/>
    </w:rPr>
  </w:style>
  <w:style w:type="character" w:styleId="997" w:customStyle="1">
    <w:name w:val="комментарий"/>
    <w:rPr>
      <w:b/>
      <w:i/>
      <w:shd w:val="clear" w:color="auto" w:fill="ffff99"/>
    </w:rPr>
  </w:style>
  <w:style w:type="paragraph" w:styleId="998" w:customStyle="1">
    <w:name w:val="Подподпункт"/>
    <w:basedOn w:val="931"/>
    <w:link w:val="99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99" w:customStyle="1">
    <w:name w:val="Подподпункт Знак"/>
    <w:link w:val="998"/>
    <w:rPr>
      <w:sz w:val="26"/>
      <w:szCs w:val="26"/>
    </w:rPr>
  </w:style>
  <w:style w:type="paragraph" w:styleId="1000" w:customStyle="1">
    <w:name w:val="УРОВЕНЬ_(а)"/>
    <w:basedOn w:val="96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01" w:customStyle="1">
    <w:name w:val="УРОВЕНЬ_-"/>
    <w:basedOn w:val="96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02" w:customStyle="1">
    <w:name w:val="УРОВЕНЬ_Абзац_тип2"/>
    <w:basedOn w:val="96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3" w:customStyle="1">
    <w:name w:val="УРОВЕНЬ_Абзац_тип3"/>
    <w:basedOn w:val="966"/>
    <w:link w:val="100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4" w:customStyle="1">
    <w:name w:val="УРОВЕНЬ_Подпись"/>
    <w:basedOn w:val="96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05" w:customStyle="1">
    <w:name w:val="УРОВЕНЬ_Абзац_тип3 Знак"/>
    <w:link w:val="1003"/>
    <w:rPr>
      <w:rFonts w:eastAsia="Calibri"/>
      <w:sz w:val="26"/>
      <w:szCs w:val="28"/>
      <w:lang w:eastAsia="en-US"/>
    </w:rPr>
  </w:style>
  <w:style w:type="character" w:styleId="1006" w:customStyle="1">
    <w:name w:val="Верхний колонтитул Знак"/>
    <w:link w:val="921"/>
    <w:uiPriority w:val="99"/>
    <w:rPr>
      <w:sz w:val="24"/>
      <w:szCs w:val="24"/>
    </w:rPr>
  </w:style>
  <w:style w:type="character" w:styleId="1007" w:customStyle="1">
    <w:name w:val="Текст примечания Знак"/>
    <w:link w:val="942"/>
  </w:style>
  <w:style w:type="paragraph" w:styleId="1008" w:customStyle="1">
    <w:name w:val="Стиль Заголовок 1 + по ширине"/>
    <w:basedOn w:val="755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09">
    <w:name w:val="endnote text"/>
    <w:basedOn w:val="754"/>
    <w:link w:val="1010"/>
    <w:rPr>
      <w:sz w:val="20"/>
      <w:szCs w:val="20"/>
    </w:rPr>
  </w:style>
  <w:style w:type="character" w:styleId="1010" w:customStyle="1">
    <w:name w:val="Текст концевой сноски Знак"/>
    <w:basedOn w:val="764"/>
    <w:link w:val="1009"/>
  </w:style>
  <w:style w:type="character" w:styleId="1011">
    <w:name w:val="endnote reference"/>
    <w:basedOn w:val="764"/>
    <w:rPr>
      <w:vertAlign w:val="superscript"/>
    </w:rPr>
  </w:style>
  <w:style w:type="paragraph" w:styleId="1012" w:customStyle="1">
    <w:name w:val="Заголовок 2 КВВ"/>
    <w:basedOn w:val="754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13" w:customStyle="1">
    <w:name w:val="Пункт2 Знак"/>
    <w:link w:val="932"/>
    <w:rPr>
      <w:b/>
      <w:sz w:val="28"/>
    </w:rPr>
  </w:style>
  <w:style w:type="paragraph" w:styleId="1014" w:customStyle="1">
    <w:name w:val="Таблица текст"/>
    <w:basedOn w:val="754"/>
    <w:pPr>
      <w:ind w:left="57" w:right="57"/>
      <w:spacing w:before="40" w:after="40"/>
    </w:pPr>
    <w:rPr>
      <w:sz w:val="24"/>
      <w:szCs w:val="26"/>
    </w:rPr>
  </w:style>
  <w:style w:type="paragraph" w:styleId="1015">
    <w:name w:val="Normal (Web)"/>
    <w:basedOn w:val="75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6" w:customStyle="1">
    <w:name w:val="УРОВЕНЬ_1."/>
    <w:basedOn w:val="966"/>
    <w:link w:val="101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7" w:customStyle="1">
    <w:name w:val="УРОВЕНЬ_1. Знак"/>
    <w:link w:val="1016"/>
    <w:rPr>
      <w:rFonts w:eastAsia="Calibri"/>
      <w:caps/>
      <w:sz w:val="28"/>
      <w:szCs w:val="28"/>
      <w:lang w:eastAsia="en-US"/>
    </w:rPr>
  </w:style>
  <w:style w:type="table" w:styleId="1018" w:customStyle="1">
    <w:name w:val="Сетка таблицы1"/>
    <w:basedOn w:val="765"/>
    <w:next w:val="923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9">
    <w:name w:val="toc 6"/>
    <w:basedOn w:val="754"/>
    <w:next w:val="754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20">
    <w:name w:val="toc 7"/>
    <w:basedOn w:val="754"/>
    <w:next w:val="754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21">
    <w:name w:val="toc 8"/>
    <w:basedOn w:val="754"/>
    <w:next w:val="754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22" w:customStyle="1">
    <w:name w:val="Неразрешенное упоминание1"/>
    <w:basedOn w:val="764"/>
    <w:uiPriority w:val="99"/>
    <w:semiHidden/>
    <w:unhideWhenUsed/>
    <w:rPr>
      <w:color w:val="605e5c"/>
      <w:shd w:val="clear" w:color="auto" w:fill="e1dfdd"/>
    </w:rPr>
  </w:style>
  <w:style w:type="character" w:styleId="1023" w:customStyle="1">
    <w:name w:val="Основной текст с отступом 3 Знак"/>
    <w:link w:val="928"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zakupki.gov.ru" TargetMode="External"/><Relationship Id="rId14" Type="http://schemas.openxmlformats.org/officeDocument/2006/relationships/hyperlink" Target="http://kuzmischeva-iv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78B02-8969-4B2A-8721-E00CBF83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evstratenko_av</cp:lastModifiedBy>
  <cp:revision>27</cp:revision>
  <dcterms:created xsi:type="dcterms:W3CDTF">2025-11-21T11:38:00Z</dcterms:created>
  <dcterms:modified xsi:type="dcterms:W3CDTF">2026-03-19T23:56:55Z</dcterms:modified>
</cp:coreProperties>
</file>